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FD" w:rsidRPr="009A1C14" w:rsidRDefault="00007F89">
      <w:pPr>
        <w:autoSpaceDE w:val="0"/>
        <w:autoSpaceDN w:val="0"/>
        <w:adjustRightInd w:val="0"/>
        <w:jc w:val="center"/>
        <w:rPr>
          <w:rFonts w:ascii="黑体" w:eastAsia="黑体" w:hAnsi="宋体"/>
          <w:b/>
          <w:sz w:val="44"/>
          <w:szCs w:val="44"/>
        </w:rPr>
      </w:pPr>
      <w:r w:rsidRPr="009A1C14">
        <w:rPr>
          <w:rFonts w:ascii="黑体" w:eastAsia="黑体" w:hAnsi="宋体" w:hint="eastAsia"/>
          <w:b/>
          <w:sz w:val="44"/>
          <w:szCs w:val="44"/>
        </w:rPr>
        <w:t>宁银理财宁欣天天鎏金现金管理类理财产品</w:t>
      </w:r>
      <w:r w:rsidRPr="009A1C14">
        <w:rPr>
          <w:rFonts w:ascii="黑体" w:eastAsia="黑体" w:hAnsi="宋体"/>
          <w:b/>
          <w:sz w:val="44"/>
          <w:szCs w:val="44"/>
        </w:rPr>
        <w:t>3</w:t>
      </w:r>
      <w:r w:rsidRPr="009A1C14">
        <w:rPr>
          <w:rFonts w:ascii="黑体" w:eastAsia="黑体" w:hAnsi="宋体" w:hint="eastAsia"/>
          <w:b/>
          <w:sz w:val="44"/>
          <w:szCs w:val="44"/>
        </w:rPr>
        <w:t>号产品说明书</w:t>
      </w:r>
    </w:p>
    <w:p w:rsidR="00B16FFD" w:rsidRPr="009A1C14" w:rsidRDefault="00007F89">
      <w:pPr>
        <w:spacing w:line="312" w:lineRule="auto"/>
        <w:jc w:val="center"/>
        <w:rPr>
          <w:rFonts w:ascii="黑体" w:eastAsia="黑体" w:hAnsi="黑体"/>
          <w:sz w:val="44"/>
          <w:szCs w:val="44"/>
        </w:rPr>
      </w:pPr>
      <w:r w:rsidRPr="009A1C14">
        <w:rPr>
          <w:rFonts w:ascii="黑体" w:eastAsia="黑体" w:hAnsi="黑体" w:hint="eastAsia"/>
          <w:sz w:val="24"/>
        </w:rPr>
        <w:t>（</w:t>
      </w:r>
      <w:r w:rsidR="00E03532" w:rsidRPr="009A1C14">
        <w:rPr>
          <w:rFonts w:ascii="黑体" w:eastAsia="黑体" w:hAnsi="黑体"/>
          <w:sz w:val="24"/>
        </w:rPr>
        <w:t>202307</w:t>
      </w:r>
      <w:r w:rsidRPr="009A1C14">
        <w:rPr>
          <w:rFonts w:ascii="黑体" w:eastAsia="黑体" w:hAnsi="黑体" w:hint="eastAsia"/>
          <w:sz w:val="24"/>
        </w:rPr>
        <w:t>版</w:t>
      </w:r>
      <w:r w:rsidRPr="009A1C14">
        <w:rPr>
          <w:rFonts w:ascii="黑体" w:eastAsia="黑体" w:hAnsi="黑体"/>
          <w:sz w:val="24"/>
        </w:rPr>
        <w:t>/</w:t>
      </w:r>
      <w:r w:rsidRPr="009A1C14">
        <w:rPr>
          <w:rFonts w:ascii="黑体" w:eastAsia="黑体" w:hAnsi="黑体" w:hint="eastAsia"/>
          <w:sz w:val="24"/>
        </w:rPr>
        <w:t>适用于现金管理类</w:t>
      </w:r>
      <w:r w:rsidRPr="009A1C14">
        <w:rPr>
          <w:rFonts w:ascii="黑体" w:eastAsia="黑体" w:hAnsi="黑体"/>
          <w:sz w:val="24"/>
        </w:rPr>
        <w:t>净值型理财</w:t>
      </w:r>
      <w:r w:rsidRPr="009A1C14">
        <w:rPr>
          <w:rFonts w:ascii="黑体" w:eastAsia="黑体" w:hAnsi="黑体" w:hint="eastAsia"/>
          <w:sz w:val="24"/>
        </w:rPr>
        <w:t>产品）</w:t>
      </w: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一、重要说明</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1</w:t>
      </w:r>
      <w:r w:rsidRPr="009A1C14">
        <w:rPr>
          <w:rFonts w:ascii="黑体" w:eastAsia="黑体" w:hAnsi="黑体" w:cs="黑体" w:hint="eastAsia"/>
          <w:kern w:val="0"/>
          <w:szCs w:val="21"/>
        </w:rPr>
        <w:t>、《宁银</w:t>
      </w:r>
      <w:r w:rsidRPr="009A1C14">
        <w:rPr>
          <w:rFonts w:ascii="黑体" w:eastAsia="黑体" w:hAnsi="黑体" w:cs="黑体"/>
          <w:kern w:val="0"/>
          <w:szCs w:val="21"/>
        </w:rPr>
        <w:t>理财</w:t>
      </w:r>
      <w:r w:rsidRPr="009A1C14">
        <w:rPr>
          <w:rFonts w:ascii="黑体" w:eastAsia="黑体" w:hAnsi="黑体" w:cs="黑体" w:hint="eastAsia"/>
          <w:kern w:val="0"/>
          <w:szCs w:val="21"/>
        </w:rPr>
        <w:t>宁欣天天鎏金现金管理类理财产品3号</w:t>
      </w:r>
      <w:r w:rsidRPr="009A1C14">
        <w:rPr>
          <w:rFonts w:ascii="黑体" w:eastAsia="黑体" w:hAnsi="黑体" w:cs="黑体"/>
          <w:kern w:val="0"/>
          <w:szCs w:val="21"/>
        </w:rPr>
        <w:t>产品说明书</w:t>
      </w:r>
      <w:r w:rsidRPr="009A1C14">
        <w:rPr>
          <w:rFonts w:ascii="黑体" w:eastAsia="黑体" w:hAnsi="黑体" w:cs="黑体" w:hint="eastAsia"/>
          <w:kern w:val="0"/>
          <w:szCs w:val="21"/>
        </w:rPr>
        <w:t>》（下称</w:t>
      </w:r>
      <w:r w:rsidRPr="009A1C14">
        <w:rPr>
          <w:rFonts w:ascii="黑体" w:eastAsia="黑体" w:hAnsi="黑体" w:cs="黑体"/>
          <w:kern w:val="0"/>
          <w:szCs w:val="21"/>
        </w:rPr>
        <w:t>“</w:t>
      </w:r>
      <w:r w:rsidRPr="009A1C14">
        <w:rPr>
          <w:rFonts w:ascii="黑体" w:eastAsia="黑体" w:hAnsi="黑体" w:cs="黑体" w:hint="eastAsia"/>
          <w:kern w:val="0"/>
          <w:szCs w:val="21"/>
        </w:rPr>
        <w:t>本</w:t>
      </w:r>
      <w:r w:rsidRPr="009A1C14">
        <w:rPr>
          <w:rFonts w:ascii="黑体" w:eastAsia="黑体" w:hAnsi="黑体" w:cs="黑体"/>
          <w:kern w:val="0"/>
          <w:szCs w:val="21"/>
        </w:rPr>
        <w:t>说明</w:t>
      </w:r>
      <w:r w:rsidRPr="009A1C14">
        <w:rPr>
          <w:rFonts w:ascii="黑体" w:eastAsia="黑体" w:hAnsi="黑体" w:cs="黑体" w:hint="eastAsia"/>
          <w:kern w:val="0"/>
          <w:szCs w:val="21"/>
        </w:rPr>
        <w:t>书</w:t>
      </w:r>
      <w:r w:rsidRPr="009A1C14">
        <w:rPr>
          <w:rFonts w:ascii="黑体" w:eastAsia="黑体" w:hAnsi="黑体" w:cs="黑体"/>
          <w:kern w:val="0"/>
          <w:szCs w:val="21"/>
        </w:rPr>
        <w:t>”</w:t>
      </w:r>
      <w:r w:rsidRPr="009A1C14">
        <w:rPr>
          <w:rFonts w:ascii="黑体" w:eastAsia="黑体" w:hAnsi="黑体" w:cs="黑体" w:hint="eastAsia"/>
          <w:kern w:val="0"/>
          <w:szCs w:val="21"/>
        </w:rPr>
        <w:t>或《理财产品说明书》）与本理财产品的《风险揭示书》、《销售（代理销售）协议书》、《投资协议书》、《投资者权益须知》等理财产品销售文件共同构成一份完整且不可分割的、关于甲方所投资乙方理财产品的全部协议。若本说明书与上述</w:t>
      </w:r>
      <w:r w:rsidRPr="009A1C14">
        <w:rPr>
          <w:rFonts w:ascii="黑体" w:eastAsia="黑体" w:hAnsi="黑体" w:cs="黑体"/>
          <w:kern w:val="0"/>
          <w:szCs w:val="21"/>
        </w:rPr>
        <w:t>其他文本</w:t>
      </w:r>
      <w:r w:rsidRPr="009A1C14">
        <w:rPr>
          <w:rFonts w:ascii="黑体" w:eastAsia="黑体" w:hAnsi="黑体" w:cs="黑体" w:hint="eastAsia"/>
          <w:kern w:val="0"/>
          <w:szCs w:val="21"/>
        </w:rPr>
        <w:t>有不一致之处，以本说明书为准。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2、宁银理财</w:t>
      </w:r>
      <w:r w:rsidRPr="009A1C14">
        <w:rPr>
          <w:rFonts w:ascii="黑体" w:eastAsia="黑体" w:hAnsi="黑体" w:cs="黑体"/>
          <w:kern w:val="0"/>
          <w:szCs w:val="21"/>
        </w:rPr>
        <w:t>有限责任</w:t>
      </w:r>
      <w:r w:rsidRPr="009A1C14">
        <w:rPr>
          <w:rFonts w:ascii="黑体" w:eastAsia="黑体" w:hAnsi="黑体" w:cs="黑体" w:hint="eastAsia"/>
          <w:kern w:val="0"/>
          <w:szCs w:val="21"/>
        </w:rPr>
        <w:t>公司（下称“产品</w:t>
      </w:r>
      <w:r w:rsidRPr="009A1C14">
        <w:rPr>
          <w:rFonts w:ascii="黑体" w:eastAsia="黑体" w:hAnsi="黑体" w:cs="黑体"/>
          <w:kern w:val="0"/>
          <w:szCs w:val="21"/>
        </w:rPr>
        <w:t>管理人”</w:t>
      </w:r>
      <w:r w:rsidRPr="009A1C14">
        <w:rPr>
          <w:rFonts w:ascii="黑体" w:eastAsia="黑体" w:hAnsi="黑体" w:cs="黑体" w:hint="eastAsia"/>
          <w:kern w:val="0"/>
          <w:szCs w:val="21"/>
        </w:rPr>
        <w:t>）代理投资者进行理财资金的投资和管理，并严格遵照本说明书所载的内容进行操作。</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3、产品</w:t>
      </w:r>
      <w:r w:rsidRPr="009A1C14">
        <w:rPr>
          <w:rFonts w:ascii="黑体" w:eastAsia="黑体" w:hAnsi="黑体" w:cs="黑体"/>
          <w:kern w:val="0"/>
          <w:szCs w:val="21"/>
        </w:rPr>
        <w:t>管理人</w:t>
      </w:r>
      <w:r w:rsidRPr="009A1C14">
        <w:rPr>
          <w:rFonts w:ascii="黑体" w:eastAsia="黑体" w:hAnsi="黑体" w:cs="黑体" w:hint="eastAsia"/>
          <w:kern w:val="0"/>
          <w:szCs w:val="21"/>
        </w:rPr>
        <w:t>对本说明书具有解释权。</w:t>
      </w:r>
    </w:p>
    <w:p w:rsidR="00B16FFD" w:rsidRPr="009A1C14" w:rsidRDefault="00B16FFD">
      <w:pPr>
        <w:autoSpaceDE w:val="0"/>
        <w:autoSpaceDN w:val="0"/>
        <w:adjustRightInd w:val="0"/>
        <w:ind w:firstLineChars="213" w:firstLine="447"/>
        <w:jc w:val="left"/>
        <w:rPr>
          <w:rFonts w:ascii="黑体" w:eastAsia="黑体" w:hAnsi="黑体" w:cs="黑体"/>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二</w:t>
      </w:r>
      <w:r w:rsidRPr="009A1C14">
        <w:rPr>
          <w:rFonts w:ascii="黑体" w:eastAsia="黑体" w:hAnsi="黑体" w:cs="黑体"/>
          <w:b/>
          <w:kern w:val="0"/>
          <w:szCs w:val="21"/>
        </w:rPr>
        <w:t>、</w:t>
      </w:r>
      <w:r w:rsidRPr="009A1C14">
        <w:rPr>
          <w:rFonts w:ascii="黑体" w:eastAsia="黑体" w:hAnsi="黑体" w:cs="黑体" w:hint="eastAsia"/>
          <w:b/>
          <w:kern w:val="0"/>
          <w:szCs w:val="21"/>
        </w:rPr>
        <w:t>产品要素</w:t>
      </w:r>
    </w:p>
    <w:tbl>
      <w:tblPr>
        <w:tblStyle w:val="ad"/>
        <w:tblW w:w="0" w:type="auto"/>
        <w:tblLook w:val="04A0" w:firstRow="1" w:lastRow="0" w:firstColumn="1" w:lastColumn="0" w:noHBand="0" w:noVBand="1"/>
      </w:tblPr>
      <w:tblGrid>
        <w:gridCol w:w="1838"/>
        <w:gridCol w:w="6458"/>
      </w:tblGrid>
      <w:tr w:rsidR="00B16FFD" w:rsidRPr="009A1C14">
        <w:tc>
          <w:tcPr>
            <w:tcW w:w="183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产品代码</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1005</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全国</w:t>
            </w:r>
            <w:r w:rsidRPr="009A1C14">
              <w:rPr>
                <w:rFonts w:ascii="黑体" w:eastAsia="黑体" w:hAnsi="黑体" w:cs="黑体"/>
                <w:kern w:val="0"/>
                <w:szCs w:val="21"/>
              </w:rPr>
              <w:t>银行业</w:t>
            </w:r>
            <w:r w:rsidRPr="009A1C14">
              <w:rPr>
                <w:rFonts w:ascii="黑体" w:eastAsia="黑体" w:hAnsi="黑体" w:cs="黑体" w:hint="eastAsia"/>
                <w:kern w:val="0"/>
                <w:szCs w:val="21"/>
              </w:rPr>
              <w:t>信息</w:t>
            </w:r>
            <w:r w:rsidRPr="009A1C14">
              <w:rPr>
                <w:rFonts w:ascii="黑体" w:eastAsia="黑体" w:hAnsi="黑体" w:cs="黑体"/>
                <w:kern w:val="0"/>
                <w:szCs w:val="21"/>
              </w:rPr>
              <w:t>登记系统编码</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kern w:val="0"/>
                <w:szCs w:val="21"/>
              </w:rPr>
              <w:t>Z7002120000105</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凭此编码可在“中国理财网（www.chinawealth.com.cn）”上查询本产品信息</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名称</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宁银理财宁欣天天鎏金现金管理类理财产品3号</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类型</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固定</w:t>
            </w:r>
            <w:r w:rsidRPr="009A1C14">
              <w:rPr>
                <w:rFonts w:ascii="黑体" w:eastAsia="黑体" w:hAnsi="黑体" w:cs="黑体"/>
                <w:b/>
                <w:bCs/>
                <w:kern w:val="0"/>
                <w:szCs w:val="21"/>
              </w:rPr>
              <w:t>收益类</w:t>
            </w:r>
            <w:r w:rsidRPr="009A1C14">
              <w:rPr>
                <w:rFonts w:ascii="黑体" w:eastAsia="黑体" w:hAnsi="黑体" w:cs="黑体" w:hint="eastAsia"/>
                <w:b/>
                <w:bCs/>
                <w:kern w:val="0"/>
                <w:szCs w:val="21"/>
              </w:rPr>
              <w:t>、非保本浮动收益型</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募集</w:t>
            </w:r>
            <w:r w:rsidRPr="009A1C14">
              <w:rPr>
                <w:rFonts w:ascii="黑体" w:eastAsia="黑体" w:hAnsi="黑体" w:cs="黑体"/>
                <w:kern w:val="0"/>
                <w:szCs w:val="21"/>
              </w:rPr>
              <w:t>方式</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公募</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评级</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PR</w:t>
            </w:r>
            <w:r w:rsidRPr="009A1C14">
              <w:rPr>
                <w:rFonts w:ascii="黑体" w:eastAsia="黑体" w:hAnsi="黑体" w:cs="黑体"/>
                <w:b/>
                <w:bCs/>
                <w:kern w:val="0"/>
                <w:szCs w:val="21"/>
              </w:rPr>
              <w:t>1</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本评级</w:t>
            </w:r>
            <w:r w:rsidRPr="009A1C14">
              <w:rPr>
                <w:rFonts w:ascii="黑体" w:eastAsia="黑体" w:hAnsi="黑体" w:cs="黑体"/>
                <w:kern w:val="0"/>
                <w:szCs w:val="21"/>
              </w:rPr>
              <w:t>为</w:t>
            </w:r>
            <w:r w:rsidRPr="009A1C14">
              <w:rPr>
                <w:rFonts w:ascii="黑体" w:eastAsia="黑体" w:hAnsi="黑体" w:cs="黑体" w:hint="eastAsia"/>
                <w:kern w:val="0"/>
                <w:szCs w:val="21"/>
              </w:rPr>
              <w:t>产品</w:t>
            </w:r>
            <w:r w:rsidRPr="009A1C14">
              <w:rPr>
                <w:rFonts w:ascii="黑体" w:eastAsia="黑体" w:hAnsi="黑体" w:cs="黑体"/>
                <w:kern w:val="0"/>
                <w:szCs w:val="21"/>
              </w:rPr>
              <w:t>管理人内部评级，仅供参考</w:t>
            </w:r>
            <w:r w:rsidRPr="009A1C14">
              <w:rPr>
                <w:rFonts w:ascii="黑体" w:eastAsia="黑体" w:hAnsi="黑体" w:cs="黑体" w:hint="eastAsia"/>
                <w:kern w:val="0"/>
                <w:szCs w:val="21"/>
              </w:rPr>
              <w:t>。该产品通过代理销售机构渠道销售的，理财产品评级应当以代理销售机构最终披露的评级结果为准。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目标</w:t>
            </w:r>
            <w:r w:rsidRPr="009A1C14">
              <w:rPr>
                <w:rFonts w:ascii="黑体" w:eastAsia="黑体" w:hAnsi="黑体" w:cs="黑体"/>
                <w:kern w:val="0"/>
                <w:szCs w:val="21"/>
              </w:rPr>
              <w:t>投资者</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风险评级为保守型</w:t>
            </w:r>
            <w:r w:rsidR="00587626" w:rsidRPr="009A1C14">
              <w:rPr>
                <w:rFonts w:ascii="黑体" w:eastAsia="黑体" w:hAnsi="黑体" w:cs="黑体" w:hint="eastAsia"/>
                <w:b/>
                <w:bCs/>
                <w:kern w:val="0"/>
                <w:szCs w:val="21"/>
              </w:rPr>
              <w:t>、</w:t>
            </w:r>
            <w:r w:rsidRPr="009A1C14">
              <w:rPr>
                <w:rFonts w:ascii="黑体" w:eastAsia="黑体" w:hAnsi="黑体" w:cs="黑体" w:hint="eastAsia"/>
                <w:b/>
                <w:bCs/>
                <w:kern w:val="0"/>
                <w:szCs w:val="21"/>
              </w:rPr>
              <w:t>稳健型</w:t>
            </w:r>
            <w:r w:rsidR="00587626" w:rsidRPr="009A1C14">
              <w:rPr>
                <w:rFonts w:ascii="黑体" w:eastAsia="黑体" w:hAnsi="黑体" w:cs="黑体" w:hint="eastAsia"/>
                <w:b/>
                <w:bCs/>
                <w:kern w:val="0"/>
                <w:szCs w:val="21"/>
              </w:rPr>
              <w:t>、</w:t>
            </w:r>
            <w:r w:rsidRPr="009A1C14">
              <w:rPr>
                <w:rFonts w:ascii="黑体" w:eastAsia="黑体" w:hAnsi="黑体" w:cs="黑体" w:hint="eastAsia"/>
                <w:b/>
                <w:bCs/>
                <w:kern w:val="0"/>
                <w:szCs w:val="21"/>
              </w:rPr>
              <w:t>平衡型</w:t>
            </w:r>
            <w:r w:rsidR="00587626" w:rsidRPr="009A1C14">
              <w:rPr>
                <w:rFonts w:ascii="黑体" w:eastAsia="黑体" w:hAnsi="黑体" w:cs="黑体" w:hint="eastAsia"/>
                <w:b/>
                <w:bCs/>
                <w:kern w:val="0"/>
                <w:szCs w:val="21"/>
              </w:rPr>
              <w:t>、</w:t>
            </w:r>
            <w:r w:rsidRPr="009A1C14">
              <w:rPr>
                <w:rFonts w:ascii="黑体" w:eastAsia="黑体" w:hAnsi="黑体" w:cs="黑体" w:hint="eastAsia"/>
                <w:b/>
                <w:bCs/>
                <w:kern w:val="0"/>
                <w:szCs w:val="21"/>
              </w:rPr>
              <w:t>成长型</w:t>
            </w:r>
            <w:r w:rsidR="00587626" w:rsidRPr="009A1C14">
              <w:rPr>
                <w:rFonts w:ascii="黑体" w:eastAsia="黑体" w:hAnsi="黑体" w:cs="黑体" w:hint="eastAsia"/>
                <w:b/>
                <w:bCs/>
                <w:kern w:val="0"/>
                <w:szCs w:val="21"/>
              </w:rPr>
              <w:t>、</w:t>
            </w:r>
            <w:r w:rsidRPr="009A1C14">
              <w:rPr>
                <w:rFonts w:ascii="黑体" w:eastAsia="黑体" w:hAnsi="黑体" w:cs="黑体" w:hint="eastAsia"/>
                <w:b/>
                <w:bCs/>
                <w:kern w:val="0"/>
                <w:szCs w:val="21"/>
              </w:rPr>
              <w:t>进取型的个人和机构投资者，其中A份额（销售代码：1</w:t>
            </w:r>
            <w:r w:rsidRPr="009A1C14">
              <w:rPr>
                <w:rFonts w:ascii="黑体" w:eastAsia="黑体" w:hAnsi="黑体" w:cs="黑体"/>
                <w:b/>
                <w:bCs/>
                <w:kern w:val="0"/>
                <w:szCs w:val="21"/>
              </w:rPr>
              <w:t>005</w:t>
            </w:r>
            <w:r w:rsidRPr="009A1C14">
              <w:rPr>
                <w:rFonts w:ascii="黑体" w:eastAsia="黑体" w:hAnsi="黑体" w:cs="黑体" w:hint="eastAsia"/>
                <w:b/>
                <w:bCs/>
                <w:kern w:val="0"/>
                <w:szCs w:val="21"/>
              </w:rPr>
              <w:t>）面向宁波银行</w:t>
            </w:r>
            <w:r w:rsidR="00543288" w:rsidRPr="009A1C14">
              <w:rPr>
                <w:rFonts w:ascii="黑体" w:eastAsia="黑体" w:hAnsi="黑体" w:cs="黑体" w:hint="eastAsia"/>
                <w:b/>
                <w:bCs/>
                <w:kern w:val="0"/>
                <w:szCs w:val="21"/>
              </w:rPr>
              <w:t>个人客户和机构核心</w:t>
            </w:r>
            <w:r w:rsidRPr="009A1C14">
              <w:rPr>
                <w:rFonts w:ascii="黑体" w:eastAsia="黑体" w:hAnsi="黑体" w:cs="黑体" w:hint="eastAsia"/>
                <w:b/>
                <w:bCs/>
                <w:kern w:val="0"/>
                <w:szCs w:val="21"/>
              </w:rPr>
              <w:t>客户，B份额（销售代码：1</w:t>
            </w:r>
            <w:r w:rsidRPr="009A1C14">
              <w:rPr>
                <w:rFonts w:ascii="黑体" w:eastAsia="黑体" w:hAnsi="黑体" w:cs="黑体"/>
                <w:b/>
                <w:bCs/>
                <w:kern w:val="0"/>
                <w:szCs w:val="21"/>
              </w:rPr>
              <w:t>005B</w:t>
            </w:r>
            <w:r w:rsidRPr="009A1C14">
              <w:rPr>
                <w:rFonts w:ascii="黑体" w:eastAsia="黑体" w:hAnsi="黑体" w:cs="黑体" w:hint="eastAsia"/>
                <w:b/>
                <w:bCs/>
                <w:kern w:val="0"/>
                <w:szCs w:val="21"/>
              </w:rPr>
              <w:t>）面向华侨永亨银行（中国）、长城华西银行</w:t>
            </w:r>
            <w:r w:rsidR="00955911" w:rsidRPr="009A1C14">
              <w:rPr>
                <w:rFonts w:ascii="黑体" w:eastAsia="黑体" w:hAnsi="黑体" w:cs="黑体" w:hint="eastAsia"/>
                <w:b/>
                <w:bCs/>
                <w:kern w:val="0"/>
                <w:szCs w:val="21"/>
              </w:rPr>
              <w:t>、</w:t>
            </w:r>
            <w:r w:rsidRPr="009A1C14">
              <w:rPr>
                <w:rFonts w:ascii="黑体" w:eastAsia="黑体" w:hAnsi="黑体" w:cs="黑体" w:hint="eastAsia"/>
                <w:b/>
                <w:bCs/>
                <w:kern w:val="0"/>
                <w:szCs w:val="21"/>
              </w:rPr>
              <w:t>浙商银行</w:t>
            </w:r>
            <w:r w:rsidR="0033738C" w:rsidRPr="009A1C14">
              <w:rPr>
                <w:rFonts w:ascii="黑体" w:eastAsia="黑体" w:hAnsi="黑体" w:cs="黑体" w:hint="eastAsia"/>
                <w:b/>
                <w:bCs/>
                <w:kern w:val="0"/>
                <w:szCs w:val="21"/>
              </w:rPr>
              <w:t>、</w:t>
            </w:r>
            <w:r w:rsidR="00881981" w:rsidRPr="009A1C14">
              <w:rPr>
                <w:rFonts w:ascii="黑体" w:eastAsia="黑体" w:hAnsi="黑体" w:cs="黑体" w:hint="eastAsia"/>
                <w:b/>
                <w:bCs/>
                <w:kern w:val="0"/>
                <w:szCs w:val="21"/>
              </w:rPr>
              <w:t>威海市商业银行</w:t>
            </w:r>
            <w:r w:rsidR="005E3835" w:rsidRPr="009A1C14">
              <w:rPr>
                <w:rFonts w:ascii="黑体" w:eastAsia="黑体" w:hAnsi="黑体" w:cs="黑体" w:hint="eastAsia"/>
                <w:b/>
                <w:bCs/>
                <w:kern w:val="0"/>
                <w:szCs w:val="21"/>
              </w:rPr>
              <w:t>、</w:t>
            </w:r>
            <w:r w:rsidR="0033738C" w:rsidRPr="009A1C14">
              <w:rPr>
                <w:rFonts w:ascii="黑体" w:eastAsia="黑体" w:hAnsi="黑体" w:cs="黑体" w:hint="eastAsia"/>
                <w:b/>
                <w:bCs/>
                <w:kern w:val="0"/>
                <w:szCs w:val="21"/>
              </w:rPr>
              <w:t>江阴农商银行</w:t>
            </w:r>
            <w:r w:rsidR="00DA513C" w:rsidRPr="009A1C14">
              <w:rPr>
                <w:rFonts w:ascii="黑体" w:eastAsia="黑体" w:hAnsi="黑体" w:cs="黑体" w:hint="eastAsia"/>
                <w:b/>
                <w:bCs/>
                <w:kern w:val="0"/>
                <w:szCs w:val="21"/>
              </w:rPr>
              <w:t>、</w:t>
            </w:r>
            <w:r w:rsidR="00DF432D" w:rsidRPr="009A1C14">
              <w:rPr>
                <w:rFonts w:ascii="黑体" w:eastAsia="黑体" w:hAnsi="黑体" w:cs="黑体" w:hint="eastAsia"/>
                <w:b/>
                <w:bCs/>
                <w:kern w:val="0"/>
                <w:szCs w:val="21"/>
              </w:rPr>
              <w:t>江南农商行</w:t>
            </w:r>
            <w:r w:rsidR="00DA513C" w:rsidRPr="009A1C14">
              <w:rPr>
                <w:rFonts w:ascii="黑体" w:eastAsia="黑体" w:hAnsi="黑体" w:cs="黑体" w:hint="eastAsia"/>
                <w:b/>
                <w:bCs/>
                <w:kern w:val="0"/>
                <w:szCs w:val="21"/>
              </w:rPr>
              <w:t>和兴业银行</w:t>
            </w:r>
            <w:r w:rsidRPr="009A1C14">
              <w:rPr>
                <w:rFonts w:ascii="黑体" w:eastAsia="黑体" w:hAnsi="黑体" w:cs="黑体" w:hint="eastAsia"/>
                <w:b/>
                <w:bCs/>
                <w:kern w:val="0"/>
                <w:szCs w:val="21"/>
              </w:rPr>
              <w:t>渠道客户</w:t>
            </w:r>
            <w:r w:rsidR="00543288" w:rsidRPr="009A1C14">
              <w:rPr>
                <w:rFonts w:ascii="黑体" w:eastAsia="黑体" w:hAnsi="黑体" w:cs="黑体" w:hint="eastAsia"/>
                <w:b/>
                <w:bCs/>
                <w:kern w:val="0"/>
                <w:szCs w:val="21"/>
              </w:rPr>
              <w:t>，</w:t>
            </w:r>
            <w:r w:rsidR="00543288" w:rsidRPr="009A1C14">
              <w:rPr>
                <w:rFonts w:ascii="黑体" w:eastAsia="黑体" w:hAnsi="黑体" w:cs="黑体"/>
                <w:b/>
                <w:bCs/>
                <w:kern w:val="0"/>
                <w:szCs w:val="21"/>
              </w:rPr>
              <w:t>C</w:t>
            </w:r>
            <w:r w:rsidR="00543288" w:rsidRPr="009A1C14">
              <w:rPr>
                <w:rFonts w:ascii="黑体" w:eastAsia="黑体" w:hAnsi="黑体" w:cs="黑体" w:hint="eastAsia"/>
                <w:b/>
                <w:bCs/>
                <w:kern w:val="0"/>
                <w:szCs w:val="21"/>
              </w:rPr>
              <w:t>份额（销售代码：1</w:t>
            </w:r>
            <w:r w:rsidR="00543288" w:rsidRPr="009A1C14">
              <w:rPr>
                <w:rFonts w:ascii="黑体" w:eastAsia="黑体" w:hAnsi="黑体" w:cs="黑体"/>
                <w:b/>
                <w:bCs/>
                <w:kern w:val="0"/>
                <w:szCs w:val="21"/>
              </w:rPr>
              <w:t>005C</w:t>
            </w:r>
            <w:r w:rsidR="00543288" w:rsidRPr="009A1C14">
              <w:rPr>
                <w:rFonts w:ascii="黑体" w:eastAsia="黑体" w:hAnsi="黑体" w:cs="黑体" w:hint="eastAsia"/>
                <w:b/>
                <w:bCs/>
                <w:kern w:val="0"/>
                <w:szCs w:val="21"/>
              </w:rPr>
              <w:t>）面向宁波银行机构客户</w:t>
            </w:r>
            <w:r w:rsidR="00854E1B" w:rsidRPr="009A1C14">
              <w:rPr>
                <w:rFonts w:ascii="黑体" w:eastAsia="黑体" w:hAnsi="黑体" w:cs="黑体" w:hint="eastAsia"/>
                <w:b/>
                <w:bCs/>
                <w:kern w:val="0"/>
                <w:szCs w:val="21"/>
              </w:rPr>
              <w:t>，</w:t>
            </w:r>
            <w:r w:rsidR="00854E1B" w:rsidRPr="009A1C14">
              <w:rPr>
                <w:rFonts w:ascii="黑体" w:eastAsia="黑体" w:hAnsi="黑体" w:cs="黑体"/>
                <w:b/>
                <w:bCs/>
                <w:kern w:val="0"/>
                <w:szCs w:val="21"/>
              </w:rPr>
              <w:t>D</w:t>
            </w:r>
            <w:r w:rsidR="00854E1B" w:rsidRPr="009A1C14">
              <w:rPr>
                <w:rFonts w:ascii="黑体" w:eastAsia="黑体" w:hAnsi="黑体" w:cs="黑体" w:hint="eastAsia"/>
                <w:b/>
                <w:bCs/>
                <w:kern w:val="0"/>
                <w:szCs w:val="21"/>
              </w:rPr>
              <w:t>份额（销售代码：1</w:t>
            </w:r>
            <w:r w:rsidR="00854E1B" w:rsidRPr="009A1C14">
              <w:rPr>
                <w:rFonts w:ascii="黑体" w:eastAsia="黑体" w:hAnsi="黑体" w:cs="黑体"/>
                <w:b/>
                <w:bCs/>
                <w:kern w:val="0"/>
                <w:szCs w:val="21"/>
              </w:rPr>
              <w:t>005D</w:t>
            </w:r>
            <w:r w:rsidR="00854E1B" w:rsidRPr="009A1C14">
              <w:rPr>
                <w:rFonts w:ascii="黑体" w:eastAsia="黑体" w:hAnsi="黑体" w:cs="黑体" w:hint="eastAsia"/>
                <w:b/>
                <w:bCs/>
                <w:kern w:val="0"/>
                <w:szCs w:val="21"/>
              </w:rPr>
              <w:t>）面向宁波银行</w:t>
            </w:r>
            <w:r w:rsidR="00D76554" w:rsidRPr="009A1C14">
              <w:rPr>
                <w:rFonts w:ascii="黑体" w:eastAsia="黑体" w:hAnsi="黑体" w:cs="黑体" w:hint="eastAsia"/>
                <w:b/>
                <w:bCs/>
                <w:kern w:val="0"/>
                <w:szCs w:val="21"/>
              </w:rPr>
              <w:t>潜力私钻个人客户、宁波银行钻石卡（月日均资产达到300万）及以上个人客户、新客户</w:t>
            </w:r>
            <w:r w:rsidRPr="009A1C14">
              <w:rPr>
                <w:rFonts w:ascii="黑体" w:eastAsia="黑体" w:hAnsi="黑体" w:cs="黑体" w:hint="eastAsia"/>
                <w:b/>
                <w:bCs/>
                <w:kern w:val="0"/>
                <w:szCs w:val="21"/>
              </w:rPr>
              <w:t>。</w:t>
            </w:r>
          </w:p>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（具体以销售机构的规则为准）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本金</w:t>
            </w:r>
            <w:r w:rsidRPr="009A1C14">
              <w:rPr>
                <w:rFonts w:ascii="黑体" w:eastAsia="黑体" w:hAnsi="黑体" w:cs="黑体"/>
                <w:kern w:val="0"/>
                <w:szCs w:val="21"/>
              </w:rPr>
              <w:t>及收益币种</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人民币</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业绩</w:t>
            </w:r>
            <w:r w:rsidRPr="009A1C14">
              <w:rPr>
                <w:rFonts w:ascii="黑体" w:eastAsia="黑体" w:hAnsi="黑体" w:cs="黑体"/>
                <w:kern w:val="0"/>
                <w:szCs w:val="21"/>
              </w:rPr>
              <w:t>比较基准</w:t>
            </w:r>
          </w:p>
        </w:tc>
        <w:tc>
          <w:tcPr>
            <w:tcW w:w="6458" w:type="dxa"/>
          </w:tcPr>
          <w:p w:rsidR="00CE1048" w:rsidRPr="009A1C14" w:rsidRDefault="00CE1048" w:rsidP="00CE1048">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__</w:t>
            </w:r>
            <w:r w:rsidRPr="009A1C14">
              <w:rPr>
                <w:rFonts w:ascii="黑体" w:eastAsia="黑体" w:hAnsi="黑体" w:cs="黑体" w:hint="eastAsia"/>
                <w:b/>
                <w:kern w:val="0"/>
                <w:szCs w:val="21"/>
                <w:u w:val="single"/>
              </w:rPr>
              <w:t>/</w:t>
            </w:r>
            <w:r w:rsidRPr="009A1C14">
              <w:rPr>
                <w:rFonts w:ascii="黑体" w:eastAsia="黑体" w:hAnsi="黑体" w:cs="黑体" w:hint="eastAsia"/>
                <w:b/>
                <w:kern w:val="0"/>
                <w:szCs w:val="21"/>
              </w:rPr>
              <w:t>__，业绩比较基准不是预期收益率，不代表产品的未来表现和实际收益，不构成对产品本金的保证和收益的承诺，仅供投资者参考。</w:t>
            </w:r>
          </w:p>
          <w:p w:rsidR="00CE1048" w:rsidRPr="009A1C14" w:rsidRDefault="00CE1048" w:rsidP="00CE1048">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业绩比较基准测算依据：__</w:t>
            </w:r>
            <w:r w:rsidRPr="009A1C14">
              <w:rPr>
                <w:rFonts w:ascii="黑体" w:eastAsia="黑体" w:hAnsi="黑体" w:cs="黑体" w:hint="eastAsia"/>
                <w:b/>
                <w:kern w:val="0"/>
                <w:szCs w:val="21"/>
                <w:u w:val="single"/>
              </w:rPr>
              <w:t>/</w:t>
            </w:r>
            <w:r w:rsidRPr="009A1C14">
              <w:rPr>
                <w:rFonts w:ascii="黑体" w:eastAsia="黑体" w:hAnsi="黑体" w:cs="黑体" w:hint="eastAsia"/>
                <w:b/>
                <w:kern w:val="0"/>
                <w:szCs w:val="21"/>
              </w:rPr>
              <w:t>__。</w:t>
            </w:r>
          </w:p>
          <w:p w:rsidR="00CE1048" w:rsidRPr="009A1C14" w:rsidRDefault="00CE1048" w:rsidP="00CE1048">
            <w:pPr>
              <w:autoSpaceDE w:val="0"/>
              <w:autoSpaceDN w:val="0"/>
              <w:adjustRightInd w:val="0"/>
              <w:jc w:val="left"/>
              <w:rPr>
                <w:rFonts w:ascii="黑体" w:eastAsia="黑体" w:hAnsi="黑体" w:cs="黑体"/>
                <w:b/>
                <w:kern w:val="0"/>
                <w:szCs w:val="21"/>
              </w:rPr>
            </w:pPr>
          </w:p>
          <w:p w:rsidR="00CE1048" w:rsidRPr="009A1C14" w:rsidRDefault="00CE1048" w:rsidP="00CE1048">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本产品将采取灵活的资产配置策略和积极主动的投资管理措施，并适时运用骑乘策略、杠杆策略和票息策略等投资策略，对投资组合</w:t>
            </w:r>
            <w:r w:rsidRPr="009A1C14">
              <w:rPr>
                <w:rFonts w:ascii="黑体" w:eastAsia="黑体" w:hAnsi="黑体" w:cs="黑体" w:hint="eastAsia"/>
                <w:b/>
                <w:kern w:val="0"/>
                <w:szCs w:val="21"/>
              </w:rPr>
              <w:lastRenderedPageBreak/>
              <w:t>进行收益增厚，在严格控制风险的基础上，力争为投资者提供持续稳健的投资回报。</w:t>
            </w:r>
          </w:p>
          <w:p w:rsidR="00CE1048" w:rsidRPr="009A1C14" w:rsidRDefault="00CE1048" w:rsidP="00CE1048">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业绩比较基准可用于确定产品管理人是否收取超额业绩报酬，投资者所能获得的最终收益以管理人实际支付为准，业绩比较基准不作为产品管理人向投资者支付本产品本金或收益的承诺。</w:t>
            </w:r>
          </w:p>
          <w:p w:rsidR="00B16FFD" w:rsidRPr="009A1C14" w:rsidRDefault="00CE1048" w:rsidP="00CE1048">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本产品为净值型产品，业绩表现将随市场情况波动，具有不确定性。当监管政策、市场环境、产品性质等因素发生变化，导致理财产品的业绩比较基准需要调整时，产品管理人将至少于调整日之前3个工作日通过机构官方渠道、行业统一信息披露渠道或与投资者约定的其他渠道公布调整情况和调整原因。</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lastRenderedPageBreak/>
              <w:t>产品</w:t>
            </w:r>
            <w:r w:rsidRPr="009A1C14">
              <w:rPr>
                <w:rFonts w:ascii="黑体" w:eastAsia="黑体" w:hAnsi="黑体" w:cs="黑体"/>
                <w:kern w:val="0"/>
                <w:szCs w:val="21"/>
              </w:rPr>
              <w:t>募集期</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2019年1月30日至2月1日</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在本产品募集期内，产品</w:t>
            </w:r>
            <w:r w:rsidRPr="009A1C14">
              <w:rPr>
                <w:rFonts w:ascii="黑体" w:eastAsia="黑体" w:hAnsi="黑体" w:cs="黑体"/>
                <w:kern w:val="0"/>
                <w:szCs w:val="21"/>
              </w:rPr>
              <w:t>管理人有权根据产品实际募集情况调整产品募集</w:t>
            </w:r>
            <w:r w:rsidRPr="009A1C14">
              <w:rPr>
                <w:rFonts w:ascii="黑体" w:eastAsia="黑体" w:hAnsi="黑体" w:cs="黑体" w:hint="eastAsia"/>
                <w:kern w:val="0"/>
                <w:szCs w:val="21"/>
              </w:rPr>
              <w:t>结束日，</w:t>
            </w:r>
            <w:r w:rsidRPr="009A1C14">
              <w:rPr>
                <w:rFonts w:ascii="黑体" w:eastAsia="黑体" w:hAnsi="黑体" w:cs="黑体"/>
                <w:kern w:val="0"/>
                <w:szCs w:val="21"/>
              </w:rPr>
              <w:t>调整前将进行相关</w:t>
            </w:r>
            <w:r w:rsidRPr="009A1C14">
              <w:rPr>
                <w:rFonts w:ascii="黑体" w:eastAsia="黑体" w:hAnsi="黑体" w:cs="黑体" w:hint="eastAsia"/>
                <w:kern w:val="0"/>
                <w:szCs w:val="21"/>
              </w:rPr>
              <w:t>信息</w:t>
            </w:r>
            <w:r w:rsidRPr="009A1C14">
              <w:rPr>
                <w:rFonts w:ascii="黑体" w:eastAsia="黑体" w:hAnsi="黑体" w:cs="黑体"/>
                <w:kern w:val="0"/>
                <w:szCs w:val="21"/>
              </w:rPr>
              <w:t>披露</w:t>
            </w:r>
            <w:r w:rsidRPr="009A1C14">
              <w:rPr>
                <w:rFonts w:ascii="黑体" w:eastAsia="黑体" w:hAnsi="黑体" w:cs="黑体" w:hint="eastAsia"/>
                <w:kern w:val="0"/>
                <w:szCs w:val="21"/>
              </w:rPr>
              <w:t>。</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成立日</w:t>
            </w:r>
          </w:p>
        </w:tc>
        <w:tc>
          <w:tcPr>
            <w:tcW w:w="6458" w:type="dxa"/>
          </w:tcPr>
          <w:p w:rsidR="00B16FFD" w:rsidRPr="009A1C14" w:rsidRDefault="00007F89">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本产品成立日为2019年2月2日</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1、为保护投资者权益，产品</w:t>
            </w:r>
            <w:r w:rsidRPr="009A1C14">
              <w:rPr>
                <w:rFonts w:ascii="黑体" w:eastAsia="黑体" w:hAnsi="黑体" w:cs="黑体"/>
                <w:kern w:val="0"/>
                <w:szCs w:val="21"/>
              </w:rPr>
              <w:t>管理人</w:t>
            </w:r>
            <w:r w:rsidRPr="009A1C14">
              <w:rPr>
                <w:rFonts w:ascii="黑体" w:eastAsia="黑体" w:hAnsi="黑体" w:cs="黑体" w:hint="eastAsia"/>
                <w:kern w:val="0"/>
                <w:szCs w:val="21"/>
              </w:rPr>
              <w:t>可根据市场变化情况缩短或延长募集期并提前或推迟成立，届时</w:t>
            </w:r>
            <w:r w:rsidRPr="009A1C14">
              <w:rPr>
                <w:rFonts w:ascii="黑体" w:eastAsia="黑体" w:hAnsi="黑体" w:cs="黑体"/>
                <w:kern w:val="0"/>
                <w:szCs w:val="21"/>
              </w:rPr>
              <w:t>产品管理人</w:t>
            </w:r>
            <w:r w:rsidRPr="009A1C14">
              <w:rPr>
                <w:rFonts w:ascii="黑体" w:eastAsia="黑体" w:hAnsi="黑体" w:cs="黑体" w:hint="eastAsia"/>
                <w:kern w:val="0"/>
                <w:szCs w:val="21"/>
              </w:rPr>
              <w:t>将调整相关日期并进行信息披露。</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2、若</w:t>
            </w:r>
            <w:r w:rsidRPr="009A1C14">
              <w:rPr>
                <w:rFonts w:ascii="黑体" w:eastAsia="黑体" w:hAnsi="黑体" w:cs="黑体"/>
                <w:kern w:val="0"/>
                <w:szCs w:val="21"/>
              </w:rPr>
              <w:t>产品认购份额未达到最低成立规模，或</w:t>
            </w:r>
            <w:r w:rsidRPr="009A1C14">
              <w:rPr>
                <w:rFonts w:ascii="黑体" w:eastAsia="黑体" w:hAnsi="黑体" w:cs="宋体" w:hint="eastAsia"/>
                <w:kern w:val="0"/>
                <w:szCs w:val="21"/>
              </w:rPr>
              <w:t>遇到包括但不限于国家金融政策发生重大调整、金融市场发生重大波动、</w:t>
            </w:r>
            <w:r w:rsidRPr="009A1C14">
              <w:rPr>
                <w:rFonts w:ascii="黑体" w:eastAsia="黑体" w:hAnsi="黑体" w:cs="黑体"/>
                <w:kern w:val="0"/>
                <w:szCs w:val="21"/>
              </w:rPr>
              <w:t>不可抗力</w:t>
            </w:r>
            <w:r w:rsidRPr="009A1C14">
              <w:rPr>
                <w:rFonts w:ascii="黑体" w:eastAsia="黑体" w:hAnsi="黑体" w:cs="宋体" w:hint="eastAsia"/>
                <w:kern w:val="0"/>
                <w:szCs w:val="21"/>
              </w:rPr>
              <w:t>或产品管理人</w:t>
            </w:r>
            <w:r w:rsidRPr="009A1C14">
              <w:rPr>
                <w:rFonts w:ascii="黑体" w:eastAsia="黑体" w:hAnsi="黑体" w:cs="黑体" w:hint="eastAsia"/>
                <w:kern w:val="0"/>
                <w:szCs w:val="21"/>
              </w:rPr>
              <w:t>认为会影响</w:t>
            </w:r>
            <w:r w:rsidRPr="009A1C14">
              <w:rPr>
                <w:rFonts w:ascii="黑体" w:eastAsia="黑体" w:hAnsi="黑体" w:cs="黑体"/>
                <w:kern w:val="0"/>
                <w:szCs w:val="21"/>
              </w:rPr>
              <w:t>产品成立</w:t>
            </w:r>
            <w:r w:rsidRPr="009A1C14">
              <w:rPr>
                <w:rFonts w:ascii="黑体" w:eastAsia="黑体" w:hAnsi="黑体" w:cs="黑体" w:hint="eastAsia"/>
                <w:kern w:val="0"/>
                <w:szCs w:val="21"/>
              </w:rPr>
              <w:t>的其他因素时</w:t>
            </w:r>
            <w:r w:rsidRPr="009A1C14">
              <w:rPr>
                <w:rFonts w:ascii="黑体" w:eastAsia="黑体" w:hAnsi="黑体" w:cs="黑体"/>
                <w:kern w:val="0"/>
                <w:szCs w:val="21"/>
              </w:rPr>
              <w:t>，</w:t>
            </w:r>
            <w:r w:rsidRPr="009A1C14">
              <w:rPr>
                <w:rFonts w:ascii="黑体" w:eastAsia="黑体" w:hAnsi="黑体" w:cs="黑体" w:hint="eastAsia"/>
                <w:kern w:val="0"/>
                <w:szCs w:val="21"/>
              </w:rPr>
              <w:t>产品管理人可以</w:t>
            </w:r>
            <w:r w:rsidRPr="009A1C14">
              <w:rPr>
                <w:rFonts w:ascii="黑体" w:eastAsia="黑体" w:hAnsi="黑体" w:cs="黑体"/>
                <w:kern w:val="0"/>
                <w:szCs w:val="21"/>
              </w:rPr>
              <w:t>宣布产品不成立，投资者认购资金</w:t>
            </w:r>
            <w:r w:rsidRPr="009A1C14">
              <w:rPr>
                <w:rFonts w:ascii="黑体" w:eastAsia="黑体" w:hAnsi="黑体" w:cs="黑体" w:hint="eastAsia"/>
                <w:kern w:val="0"/>
                <w:szCs w:val="21"/>
              </w:rPr>
              <w:t>将</w:t>
            </w:r>
            <w:r w:rsidRPr="009A1C14">
              <w:rPr>
                <w:rFonts w:ascii="黑体" w:eastAsia="黑体" w:hAnsi="黑体" w:cs="黑体"/>
                <w:kern w:val="0"/>
                <w:szCs w:val="21"/>
              </w:rPr>
              <w:t>于产品</w:t>
            </w:r>
            <w:r w:rsidRPr="009A1C14">
              <w:rPr>
                <w:rFonts w:ascii="黑体" w:eastAsia="黑体" w:hAnsi="黑体" w:cs="黑体" w:hint="eastAsia"/>
                <w:kern w:val="0"/>
                <w:szCs w:val="21"/>
              </w:rPr>
              <w:t>募集</w:t>
            </w:r>
            <w:r w:rsidRPr="009A1C14">
              <w:rPr>
                <w:rFonts w:ascii="黑体" w:eastAsia="黑体" w:hAnsi="黑体" w:cs="黑体"/>
                <w:kern w:val="0"/>
                <w:szCs w:val="21"/>
              </w:rPr>
              <w:t>期结束后</w:t>
            </w:r>
            <w:r w:rsidRPr="009A1C14">
              <w:rPr>
                <w:rFonts w:ascii="黑体" w:eastAsia="黑体" w:hAnsi="黑体" w:cs="黑体" w:hint="eastAsia"/>
                <w:kern w:val="0"/>
                <w:szCs w:val="21"/>
              </w:rPr>
              <w:t>5个</w:t>
            </w:r>
            <w:r w:rsidRPr="009A1C14">
              <w:rPr>
                <w:rFonts w:ascii="黑体" w:eastAsia="黑体" w:hAnsi="黑体" w:cs="黑体"/>
                <w:kern w:val="0"/>
                <w:szCs w:val="21"/>
              </w:rPr>
              <w:t>工作日内</w:t>
            </w:r>
            <w:r w:rsidRPr="009A1C14">
              <w:rPr>
                <w:rFonts w:ascii="黑体" w:eastAsia="黑体" w:hAnsi="黑体" w:cs="黑体" w:hint="eastAsia"/>
                <w:kern w:val="0"/>
                <w:szCs w:val="21"/>
              </w:rPr>
              <w:t>解冻</w:t>
            </w:r>
            <w:r w:rsidRPr="009A1C14">
              <w:rPr>
                <w:rFonts w:ascii="黑体" w:eastAsia="黑体" w:hAnsi="黑体" w:cs="黑体"/>
                <w:kern w:val="0"/>
                <w:szCs w:val="21"/>
              </w:rPr>
              <w:t>或返还至投资者指定账户，在途期间投资者投资本金不计息。</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到期</w:t>
            </w:r>
            <w:r w:rsidRPr="009A1C14">
              <w:rPr>
                <w:rFonts w:ascii="黑体" w:eastAsia="黑体" w:hAnsi="黑体" w:cs="黑体" w:hint="eastAsia"/>
                <w:kern w:val="0"/>
                <w:szCs w:val="21"/>
              </w:rPr>
              <w:t>日</w:t>
            </w:r>
          </w:p>
        </w:tc>
        <w:tc>
          <w:tcPr>
            <w:tcW w:w="6458" w:type="dxa"/>
          </w:tcPr>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2050年2月2日</w:t>
            </w: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产品</w:t>
            </w:r>
            <w:r w:rsidRPr="009A1C14">
              <w:rPr>
                <w:rFonts w:ascii="黑体" w:eastAsia="黑体" w:hAnsi="黑体" w:cs="黑体"/>
                <w:b/>
                <w:kern w:val="0"/>
                <w:szCs w:val="21"/>
              </w:rPr>
              <w:t>成立日</w:t>
            </w:r>
            <w:r w:rsidRPr="009A1C14">
              <w:rPr>
                <w:rFonts w:ascii="黑体" w:eastAsia="黑体" w:hAnsi="黑体" w:cs="黑体" w:hint="eastAsia"/>
                <w:b/>
                <w:kern w:val="0"/>
                <w:szCs w:val="21"/>
              </w:rPr>
              <w:t>至</w:t>
            </w:r>
            <w:r w:rsidRPr="009A1C14">
              <w:rPr>
                <w:rFonts w:ascii="黑体" w:eastAsia="黑体" w:hAnsi="黑体" w:cs="黑体"/>
                <w:b/>
                <w:kern w:val="0"/>
                <w:szCs w:val="21"/>
              </w:rPr>
              <w:t>产品到期日</w:t>
            </w:r>
            <w:r w:rsidRPr="009A1C14">
              <w:rPr>
                <w:rFonts w:ascii="黑体" w:eastAsia="黑体" w:hAnsi="黑体" w:cs="黑体" w:hint="eastAsia"/>
                <w:b/>
                <w:kern w:val="0"/>
                <w:szCs w:val="21"/>
              </w:rPr>
              <w:t>期</w:t>
            </w:r>
            <w:r w:rsidRPr="009A1C14">
              <w:rPr>
                <w:rFonts w:ascii="黑体" w:eastAsia="黑体" w:hAnsi="黑体" w:cs="黑体"/>
                <w:b/>
                <w:kern w:val="0"/>
                <w:szCs w:val="21"/>
              </w:rPr>
              <w:t>间为产品存续期。</w:t>
            </w:r>
            <w:r w:rsidRPr="009A1C14">
              <w:rPr>
                <w:rFonts w:ascii="黑体" w:eastAsia="黑体" w:hAnsi="黑体" w:cs="黑体" w:hint="eastAsia"/>
                <w:b/>
                <w:kern w:val="0"/>
                <w:szCs w:val="21"/>
              </w:rPr>
              <w:t>详见</w:t>
            </w:r>
            <w:r w:rsidRPr="009A1C14">
              <w:rPr>
                <w:rFonts w:ascii="黑体" w:eastAsia="黑体" w:hAnsi="黑体" w:cs="黑体"/>
                <w:b/>
                <w:kern w:val="0"/>
                <w:szCs w:val="21"/>
              </w:rPr>
              <w:t>本说明书第</w:t>
            </w:r>
            <w:r w:rsidRPr="009A1C14">
              <w:rPr>
                <w:rFonts w:ascii="黑体" w:eastAsia="黑体" w:hAnsi="黑体" w:cs="黑体" w:hint="eastAsia"/>
                <w:b/>
                <w:kern w:val="0"/>
                <w:szCs w:val="21"/>
              </w:rPr>
              <w:t>七</w:t>
            </w:r>
            <w:r w:rsidRPr="009A1C14">
              <w:rPr>
                <w:rFonts w:ascii="黑体" w:eastAsia="黑体" w:hAnsi="黑体" w:cs="黑体"/>
                <w:b/>
                <w:kern w:val="0"/>
                <w:szCs w:val="21"/>
              </w:rPr>
              <w:t>部分</w:t>
            </w:r>
            <w:r w:rsidRPr="009A1C14">
              <w:rPr>
                <w:rFonts w:ascii="黑体" w:eastAsia="黑体" w:hAnsi="黑体" w:cs="黑体" w:hint="eastAsia"/>
                <w:b/>
                <w:bCs/>
                <w:kern w:val="0"/>
                <w:szCs w:val="21"/>
              </w:rPr>
              <w:t>理财产品到期与终止</w:t>
            </w:r>
            <w:r w:rsidRPr="009A1C14">
              <w:rPr>
                <w:rFonts w:ascii="黑体" w:eastAsia="黑体" w:hAnsi="黑体" w:cs="黑体"/>
                <w:b/>
                <w:kern w:val="0"/>
                <w:szCs w:val="21"/>
              </w:rPr>
              <w:t>。</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产品开放日</w:t>
            </w:r>
          </w:p>
        </w:tc>
        <w:tc>
          <w:tcPr>
            <w:tcW w:w="6458" w:type="dxa"/>
          </w:tcPr>
          <w:p w:rsidR="00B16FFD" w:rsidRPr="009A1C14" w:rsidRDefault="00007F89" w:rsidP="000D5D78">
            <w:pPr>
              <w:autoSpaceDE w:val="0"/>
              <w:autoSpaceDN w:val="0"/>
              <w:adjustRightInd w:val="0"/>
              <w:jc w:val="left"/>
              <w:rPr>
                <w:rFonts w:ascii="黑体" w:eastAsia="黑体" w:hAnsi="黑体" w:cs="黑体"/>
                <w:b/>
                <w:bCs/>
                <w:kern w:val="0"/>
                <w:szCs w:val="21"/>
              </w:rPr>
            </w:pPr>
            <w:r w:rsidRPr="009A1C14">
              <w:rPr>
                <w:rFonts w:ascii="黑体" w:eastAsia="黑体" w:hAnsi="黑体" w:cs="黑体" w:hint="eastAsia"/>
                <w:b/>
                <w:bCs/>
                <w:kern w:val="0"/>
                <w:szCs w:val="21"/>
              </w:rPr>
              <w:t>2019年2月3日起，除国家法定节假日和休息日之外的法定工作日为产品交易日，即开放本理财产品的申购、赎回的产品开放日。在理财产品存续期内，本公司有权根据市场情况变化暂停</w:t>
            </w:r>
            <w:r w:rsidR="000D5D78" w:rsidRPr="009A1C14">
              <w:rPr>
                <w:rFonts w:ascii="黑体" w:eastAsia="黑体" w:hAnsi="黑体" w:cs="黑体" w:hint="eastAsia"/>
                <w:b/>
                <w:bCs/>
                <w:kern w:val="0"/>
                <w:szCs w:val="21"/>
              </w:rPr>
              <w:t>或调整</w:t>
            </w:r>
            <w:r w:rsidRPr="009A1C14">
              <w:rPr>
                <w:rFonts w:ascii="黑体" w:eastAsia="黑体" w:hAnsi="黑体" w:cs="黑体" w:hint="eastAsia"/>
                <w:b/>
                <w:bCs/>
                <w:kern w:val="0"/>
                <w:szCs w:val="21"/>
              </w:rPr>
              <w:t>本理财产品的申购、赎回</w:t>
            </w:r>
            <w:r w:rsidR="000D5D78" w:rsidRPr="009A1C14">
              <w:rPr>
                <w:rFonts w:ascii="黑体" w:eastAsia="黑体" w:hAnsi="黑体" w:cs="黑体" w:hint="eastAsia"/>
                <w:b/>
                <w:bCs/>
                <w:kern w:val="0"/>
                <w:szCs w:val="21"/>
              </w:rPr>
              <w:t>安排</w:t>
            </w:r>
            <w:r w:rsidRPr="009A1C14">
              <w:rPr>
                <w:rFonts w:ascii="黑体" w:eastAsia="黑体" w:hAnsi="黑体" w:cs="黑体" w:hint="eastAsia"/>
                <w:b/>
                <w:bCs/>
                <w:kern w:val="0"/>
                <w:szCs w:val="21"/>
              </w:rPr>
              <w:t>，</w:t>
            </w:r>
            <w:r w:rsidR="000D5D78" w:rsidRPr="009A1C14">
              <w:rPr>
                <w:rFonts w:ascii="黑体" w:eastAsia="黑体" w:hAnsi="黑体" w:cs="黑体" w:hint="eastAsia"/>
                <w:b/>
                <w:bCs/>
                <w:kern w:val="0"/>
                <w:szCs w:val="21"/>
              </w:rPr>
              <w:t>相关安排请以届时提前公告为准。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认购、申购</w:t>
            </w:r>
            <w:r w:rsidRPr="009A1C14">
              <w:rPr>
                <w:rFonts w:ascii="黑体" w:eastAsia="黑体" w:hAnsi="黑体" w:cs="黑体"/>
                <w:kern w:val="0"/>
                <w:szCs w:val="21"/>
              </w:rPr>
              <w:t>、赎回</w:t>
            </w:r>
            <w:r w:rsidRPr="009A1C14">
              <w:rPr>
                <w:rFonts w:ascii="黑体" w:eastAsia="黑体" w:hAnsi="黑体" w:cs="黑体" w:hint="eastAsia"/>
                <w:kern w:val="0"/>
                <w:szCs w:val="21"/>
              </w:rPr>
              <w:t>及撤单</w:t>
            </w:r>
            <w:r w:rsidRPr="009A1C14">
              <w:rPr>
                <w:rFonts w:ascii="黑体" w:eastAsia="黑体" w:hAnsi="黑体" w:cs="黑体"/>
                <w:kern w:val="0"/>
                <w:szCs w:val="21"/>
              </w:rPr>
              <w:t>时间</w:t>
            </w:r>
          </w:p>
        </w:tc>
        <w:tc>
          <w:tcPr>
            <w:tcW w:w="6458" w:type="dxa"/>
          </w:tcPr>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产品募集期第一日9:00至最后一日16:30投资者可以提交或撤销认购申请；</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产品存续期间，投资者可以提交申购和赎回申请，在产品管理人确认申购/赎回份额前，投资者可以对申购和赎回申请进行撤销。产品实际认购、申购、赎回及撤单时间具体以销售机构展示为准。具体交易规则见后文四、产品交易相关规则。</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每万份产品净收益</w:t>
            </w:r>
          </w:p>
        </w:tc>
        <w:tc>
          <w:tcPr>
            <w:tcW w:w="6458" w:type="dxa"/>
          </w:tcPr>
          <w:p w:rsidR="00B16FFD" w:rsidRPr="009A1C14" w:rsidRDefault="00007F89">
            <w:pPr>
              <w:autoSpaceDE w:val="0"/>
              <w:autoSpaceDN w:val="0"/>
              <w:adjustRightInd w:val="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日每万份产品净收益</w:t>
            </w:r>
            <w:r w:rsidRPr="009A1C14">
              <w:rPr>
                <w:rFonts w:ascii="黑体" w:eastAsia="黑体" w:hAnsi="黑体" w:cs="黑体"/>
                <w:color w:val="000000" w:themeColor="text1"/>
                <w:kern w:val="0"/>
                <w:szCs w:val="21"/>
              </w:rPr>
              <w:t>=[当日理财产品净收益/当日产品</w:t>
            </w:r>
            <w:r w:rsidRPr="009A1C14">
              <w:rPr>
                <w:rFonts w:ascii="黑体" w:eastAsia="黑体" w:hAnsi="黑体" w:cs="黑体" w:hint="eastAsia"/>
                <w:color w:val="000000" w:themeColor="text1"/>
                <w:kern w:val="0"/>
                <w:szCs w:val="21"/>
              </w:rPr>
              <w:t>份额总额</w:t>
            </w:r>
            <w:r w:rsidRPr="009A1C14">
              <w:rPr>
                <w:rFonts w:ascii="黑体" w:eastAsia="黑体" w:hAnsi="黑体" w:cs="黑体"/>
                <w:color w:val="000000" w:themeColor="text1"/>
                <w:kern w:val="0"/>
                <w:szCs w:val="21"/>
              </w:rPr>
              <w:t>]</w:t>
            </w:r>
            <m:oMath>
              <m:r>
                <m:rPr>
                  <m:sty m:val="p"/>
                </m:rPr>
                <w:rPr>
                  <w:rFonts w:ascii="Cambria Math" w:eastAsia="Cambria Math" w:hAnsi="Cambria Math" w:cs="黑体"/>
                  <w:color w:val="000000" w:themeColor="text1"/>
                  <w:kern w:val="0"/>
                  <w:szCs w:val="21"/>
                </w:rPr>
                <m:t>×</m:t>
              </m:r>
            </m:oMath>
            <w:r w:rsidRPr="009A1C14">
              <w:rPr>
                <w:rFonts w:ascii="黑体" w:eastAsia="黑体" w:hAnsi="黑体" w:cs="黑体"/>
                <w:color w:val="000000" w:themeColor="text1"/>
                <w:kern w:val="0"/>
                <w:szCs w:val="21"/>
              </w:rPr>
              <w:t xml:space="preserve"> 10,000</w:t>
            </w:r>
          </w:p>
          <w:p w:rsidR="00B16FFD" w:rsidRPr="009A1C14" w:rsidRDefault="002E0866" w:rsidP="002E0866">
            <w:pPr>
              <w:autoSpaceDE w:val="0"/>
              <w:autoSpaceDN w:val="0"/>
              <w:adjustRightInd w:val="0"/>
              <w:jc w:val="left"/>
              <w:rPr>
                <w:rFonts w:ascii="黑体" w:eastAsia="黑体" w:hAnsi="黑体" w:cs="宋体"/>
                <w:kern w:val="0"/>
                <w:szCs w:val="21"/>
              </w:rPr>
            </w:pPr>
            <w:r w:rsidRPr="009A1C14">
              <w:rPr>
                <w:rFonts w:ascii="黑体" w:eastAsia="黑体" w:hAnsi="黑体" w:cs="黑体" w:hint="eastAsia"/>
                <w:color w:val="000000" w:themeColor="text1"/>
                <w:kern w:val="0"/>
                <w:szCs w:val="21"/>
              </w:rPr>
              <w:t>每万份产品净收益的计算按照四舍五入原则，精确至小数点后</w:t>
            </w:r>
            <w:r w:rsidRPr="009A1C14">
              <w:rPr>
                <w:rFonts w:ascii="黑体" w:eastAsia="黑体" w:hAnsi="黑体" w:cs="黑体"/>
                <w:color w:val="000000" w:themeColor="text1"/>
                <w:kern w:val="0"/>
                <w:szCs w:val="21"/>
              </w:rPr>
              <w:t>4位</w:t>
            </w:r>
            <w:r w:rsidRPr="009A1C14">
              <w:rPr>
                <w:rFonts w:ascii="黑体" w:eastAsia="黑体" w:hAnsi="黑体" w:cs="黑体" w:hint="eastAsia"/>
                <w:color w:val="000000" w:themeColor="text1"/>
                <w:kern w:val="0"/>
                <w:szCs w:val="21"/>
              </w:rPr>
              <w:t>（实际展示以销售机构为准）</w:t>
            </w:r>
            <w:r w:rsidRPr="009A1C14">
              <w:rPr>
                <w:rFonts w:ascii="黑体" w:eastAsia="黑体" w:hAnsi="黑体" w:cs="黑体"/>
                <w:color w:val="000000" w:themeColor="text1"/>
                <w:kern w:val="0"/>
                <w:szCs w:val="21"/>
              </w:rPr>
              <w:t>。</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七日年化收益率</w:t>
            </w:r>
          </w:p>
        </w:tc>
        <w:tc>
          <w:tcPr>
            <w:tcW w:w="6458" w:type="dxa"/>
          </w:tcPr>
          <w:p w:rsidR="00B16FFD" w:rsidRPr="009A1C14" w:rsidRDefault="00007F89">
            <w:pPr>
              <w:autoSpaceDE w:val="0"/>
              <w:autoSpaceDN w:val="0"/>
              <w:adjustRightInd w:val="0"/>
              <w:rPr>
                <w:rFonts w:ascii="黑体" w:eastAsia="黑体" w:hAnsi="黑体" w:cs="黑体"/>
                <w:color w:val="000000" w:themeColor="text1"/>
              </w:rPr>
            </w:pPr>
            <w:r w:rsidRPr="009A1C14">
              <w:rPr>
                <w:rFonts w:ascii="黑体" w:eastAsia="黑体" w:hAnsi="黑体" w:cs="黑体" w:hint="eastAsia"/>
                <w:color w:val="000000" w:themeColor="text1"/>
                <w:kern w:val="0"/>
                <w:szCs w:val="21"/>
              </w:rPr>
              <w:t>按日结转份额的七日年化收益率</w:t>
            </w:r>
            <w:r w:rsidRPr="009A1C14">
              <w:rPr>
                <w:rFonts w:ascii="黑体" w:eastAsia="黑体" w:hAnsi="黑体" w:cs="黑体"/>
                <w:color w:val="000000" w:themeColor="text1"/>
                <w:kern w:val="0"/>
                <w:szCs w:val="21"/>
              </w:rPr>
              <w:t xml:space="preserve">= </w:t>
            </w:r>
            <m:oMath>
              <m:d>
                <m:dPr>
                  <m:begChr m:val="{"/>
                  <m:endChr m:val="}"/>
                  <m:ctrlPr>
                    <w:rPr>
                      <w:rFonts w:ascii="Cambria Math" w:eastAsia="Times New Roman" w:hAnsi="Cambria Math"/>
                      <w:color w:val="000000" w:themeColor="text1"/>
                    </w:rPr>
                  </m:ctrlPr>
                </m:dPr>
                <m:e>
                  <m:sSup>
                    <m:sSupPr>
                      <m:ctrlPr>
                        <w:rPr>
                          <w:rFonts w:ascii="Cambria Math" w:eastAsia="Times New Roman" w:hAnsi="Cambria Math"/>
                          <w:i/>
                          <w:color w:val="000000" w:themeColor="text1"/>
                        </w:rPr>
                      </m:ctrlPr>
                    </m:sSupPr>
                    <m:e>
                      <m:d>
                        <m:dPr>
                          <m:begChr m:val="["/>
                          <m:endChr m:val="]"/>
                          <m:ctrlPr>
                            <w:rPr>
                              <w:rFonts w:ascii="Cambria Math" w:eastAsia="Times New Roman" w:hAnsi="Cambria Math"/>
                              <w:i/>
                              <w:color w:val="000000" w:themeColor="text1"/>
                            </w:rPr>
                          </m:ctrlPr>
                        </m:dPr>
                        <m:e>
                          <m:nary>
                            <m:naryPr>
                              <m:chr m:val="∏"/>
                              <m:limLoc m:val="undOvr"/>
                              <m:ctrlPr>
                                <w:rPr>
                                  <w:rFonts w:ascii="Cambria Math" w:eastAsia="Times New Roman" w:hAnsi="Cambria Math"/>
                                  <w:i/>
                                  <w:color w:val="000000" w:themeColor="text1"/>
                                </w:rPr>
                              </m:ctrlPr>
                            </m:naryPr>
                            <m:sub>
                              <m:r>
                                <w:rPr>
                                  <w:rFonts w:ascii="Cambria Math" w:eastAsia="Times New Roman" w:hAnsi="Cambria Math"/>
                                  <w:color w:val="000000" w:themeColor="text1"/>
                                </w:rPr>
                                <m:t>i=1</m:t>
                              </m:r>
                            </m:sub>
                            <m:sup>
                              <m:r>
                                <w:rPr>
                                  <w:rFonts w:ascii="Cambria Math" w:eastAsia="Times New Roman" w:hAnsi="Cambria Math"/>
                                  <w:color w:val="000000" w:themeColor="text1"/>
                                </w:rPr>
                                <m:t>7</m:t>
                              </m:r>
                            </m:sup>
                            <m:e>
                              <m:r>
                                <w:rPr>
                                  <w:rFonts w:ascii="Cambria Math" w:eastAsia="Times New Roman" w:hAnsi="Cambria Math"/>
                                  <w:color w:val="000000" w:themeColor="text1"/>
                                </w:rPr>
                                <m:t>(1+</m:t>
                              </m:r>
                              <m:f>
                                <m:fPr>
                                  <m:ctrlPr>
                                    <w:rPr>
                                      <w:rFonts w:ascii="Cambria Math" w:eastAsia="Times New Roman" w:hAnsi="Cambria Math"/>
                                      <w:i/>
                                      <w:color w:val="000000" w:themeColor="text1"/>
                                    </w:rPr>
                                  </m:ctrlPr>
                                </m:fPr>
                                <m:num>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R</m:t>
                                      </m:r>
                                    </m:e>
                                    <m:sub>
                                      <m:r>
                                        <w:rPr>
                                          <w:rFonts w:ascii="Cambria Math" w:eastAsia="Times New Roman" w:hAnsi="Cambria Math"/>
                                          <w:color w:val="000000" w:themeColor="text1"/>
                                        </w:rPr>
                                        <m:t>i</m:t>
                                      </m:r>
                                    </m:sub>
                                  </m:sSub>
                                </m:num>
                                <m:den>
                                  <m:r>
                                    <w:rPr>
                                      <w:rFonts w:ascii="Cambria Math" w:eastAsia="Times New Roman" w:hAnsi="Cambria Math"/>
                                      <w:color w:val="000000" w:themeColor="text1"/>
                                    </w:rPr>
                                    <m:t>10000</m:t>
                                  </m:r>
                                </m:den>
                              </m:f>
                              <m:r>
                                <w:rPr>
                                  <w:rFonts w:ascii="Cambria Math" w:eastAsia="Times New Roman" w:hAnsi="Cambria Math"/>
                                  <w:color w:val="000000" w:themeColor="text1"/>
                                </w:rPr>
                                <m:t>)</m:t>
                              </m:r>
                            </m:e>
                          </m:nary>
                        </m:e>
                      </m:d>
                    </m:e>
                    <m:sup>
                      <m:f>
                        <m:fPr>
                          <m:ctrlPr>
                            <w:rPr>
                              <w:rFonts w:ascii="Cambria Math" w:eastAsia="Times New Roman" w:hAnsi="Cambria Math"/>
                              <w:i/>
                              <w:color w:val="000000" w:themeColor="text1"/>
                            </w:rPr>
                          </m:ctrlPr>
                        </m:fPr>
                        <m:num>
                          <m:r>
                            <w:rPr>
                              <w:rFonts w:ascii="Cambria Math" w:hAnsi="Cambria Math"/>
                              <w:color w:val="000000" w:themeColor="text1"/>
                            </w:rPr>
                            <m:t>365</m:t>
                          </m:r>
                        </m:num>
                        <m:den>
                          <m:r>
                            <w:rPr>
                              <w:rFonts w:ascii="Cambria Math" w:eastAsia="Times New Roman" w:hAnsi="Cambria Math"/>
                              <w:color w:val="000000" w:themeColor="text1"/>
                            </w:rPr>
                            <m:t>7</m:t>
                          </m:r>
                        </m:den>
                      </m:f>
                    </m:sup>
                  </m:sSup>
                  <m:r>
                    <w:rPr>
                      <w:rFonts w:ascii="Cambria Math" w:eastAsia="Times New Roman" w:hAnsi="Cambria Math"/>
                      <w:color w:val="000000" w:themeColor="text1"/>
                    </w:rPr>
                    <m:t>-1</m:t>
                  </m:r>
                </m:e>
              </m:d>
              <m:r>
                <w:rPr>
                  <w:rFonts w:ascii="Cambria Math" w:eastAsia="Times New Roman" w:hAnsi="Cambria Math"/>
                  <w:color w:val="000000" w:themeColor="text1"/>
                </w:rPr>
                <m:t>×100%</m:t>
              </m:r>
            </m:oMath>
          </w:p>
          <w:p w:rsidR="00B16FFD" w:rsidRPr="009A1C14" w:rsidRDefault="002E0866">
            <w:pPr>
              <w:autoSpaceDE w:val="0"/>
              <w:autoSpaceDN w:val="0"/>
              <w:adjustRightInd w:val="0"/>
              <w:jc w:val="left"/>
              <w:rPr>
                <w:rFonts w:ascii="黑体" w:eastAsia="黑体" w:hAnsi="黑体" w:cs="宋体"/>
                <w:kern w:val="0"/>
                <w:szCs w:val="21"/>
              </w:rPr>
            </w:pPr>
            <w:r w:rsidRPr="009A1C14">
              <w:rPr>
                <w:rFonts w:ascii="黑体" w:eastAsia="黑体" w:hAnsi="黑体" w:cs="黑体" w:hint="eastAsia"/>
                <w:color w:val="000000" w:themeColor="text1"/>
              </w:rPr>
              <w:t>其中，</w:t>
            </w:r>
            <m:oMath>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R</m:t>
                  </m:r>
                </m:e>
                <m:sub>
                  <m:r>
                    <w:rPr>
                      <w:rFonts w:ascii="Cambria Math" w:eastAsia="Times New Roman" w:hAnsi="Cambria Math"/>
                      <w:color w:val="000000" w:themeColor="text1"/>
                    </w:rPr>
                    <m:t>i</m:t>
                  </m:r>
                </m:sub>
              </m:sSub>
            </m:oMath>
            <w:r w:rsidRPr="009A1C14">
              <w:rPr>
                <w:rFonts w:ascii="黑体" w:eastAsia="黑体" w:hAnsi="黑体" w:cs="黑体" w:hint="eastAsia"/>
                <w:color w:val="000000" w:themeColor="text1"/>
              </w:rPr>
              <w:t>为最近第</w:t>
            </w:r>
            <w:r w:rsidRPr="009A1C14">
              <w:rPr>
                <w:rFonts w:ascii="黑体" w:eastAsia="黑体" w:hAnsi="黑体" w:cs="黑体"/>
                <w:color w:val="000000" w:themeColor="text1"/>
              </w:rPr>
              <w:t>i个</w:t>
            </w:r>
            <w:r w:rsidRPr="009A1C14">
              <w:rPr>
                <w:rFonts w:ascii="黑体" w:eastAsia="黑体" w:hAnsi="黑体" w:cs="黑体" w:hint="eastAsia"/>
                <w:color w:val="000000" w:themeColor="text1"/>
              </w:rPr>
              <w:t>自然日的每万份产品净收益，</w:t>
            </w:r>
            <w:r w:rsidRPr="009A1C14">
              <w:rPr>
                <w:rFonts w:ascii="黑体" w:eastAsia="黑体" w:hAnsi="黑体" w:cs="黑体" w:hint="eastAsia"/>
                <w:color w:val="000000" w:themeColor="text1"/>
                <w:kern w:val="0"/>
                <w:szCs w:val="21"/>
              </w:rPr>
              <w:t>七日年化收益率的计算按照四舍五入原则，精确至小数点后</w:t>
            </w:r>
            <w:r w:rsidRPr="009A1C14">
              <w:rPr>
                <w:rFonts w:ascii="黑体" w:eastAsia="黑体" w:hAnsi="黑体" w:cs="黑体"/>
                <w:color w:val="000000" w:themeColor="text1"/>
                <w:kern w:val="0"/>
                <w:szCs w:val="21"/>
              </w:rPr>
              <w:t>4</w:t>
            </w:r>
            <w:r w:rsidRPr="009A1C14">
              <w:rPr>
                <w:rFonts w:ascii="黑体" w:eastAsia="黑体" w:hAnsi="黑体" w:cs="黑体" w:hint="eastAsia"/>
                <w:color w:val="000000" w:themeColor="text1"/>
                <w:kern w:val="0"/>
                <w:szCs w:val="21"/>
              </w:rPr>
              <w:t>位（实际展示以销售机</w:t>
            </w:r>
            <w:r w:rsidRPr="009A1C14">
              <w:rPr>
                <w:rFonts w:ascii="黑体" w:eastAsia="黑体" w:hAnsi="黑体" w:cs="黑体" w:hint="eastAsia"/>
                <w:color w:val="000000" w:themeColor="text1"/>
                <w:kern w:val="0"/>
                <w:szCs w:val="21"/>
              </w:rPr>
              <w:lastRenderedPageBreak/>
              <w:t>构为准）。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lastRenderedPageBreak/>
              <w:t>产品</w:t>
            </w:r>
            <w:r w:rsidRPr="009A1C14">
              <w:rPr>
                <w:rFonts w:ascii="黑体" w:eastAsia="黑体" w:hAnsi="黑体" w:cs="黑体"/>
                <w:kern w:val="0"/>
                <w:szCs w:val="21"/>
              </w:rPr>
              <w:t>最低成立规模</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无</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kern w:val="0"/>
                <w:szCs w:val="21"/>
              </w:rPr>
              <w:t>产品规模上限</w:t>
            </w:r>
          </w:p>
        </w:tc>
        <w:tc>
          <w:tcPr>
            <w:tcW w:w="6458" w:type="dxa"/>
          </w:tcPr>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截至2020年11月13日，本产品规模上限为145亿元。</w:t>
            </w: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若募集期产品认购金额达到产品规模上限，则产品管理人有权停止产品的认购交易。</w:t>
            </w: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产品管理人有权根据产品实际运作情况调整产品存续期间的规模上限，具体以产品销售机构显示为准。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首次</w:t>
            </w:r>
            <w:r w:rsidRPr="009A1C14">
              <w:rPr>
                <w:rFonts w:ascii="黑体" w:eastAsia="黑体" w:hAnsi="黑体" w:cs="黑体"/>
                <w:kern w:val="0"/>
                <w:szCs w:val="21"/>
              </w:rPr>
              <w:t>购买起点金额</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kern w:val="0"/>
                <w:szCs w:val="21"/>
              </w:rPr>
              <w:t>A、B</w:t>
            </w:r>
            <w:r w:rsidR="00005CBA" w:rsidRPr="009A1C14">
              <w:rPr>
                <w:rFonts w:ascii="黑体" w:eastAsia="黑体" w:hAnsi="黑体" w:cs="黑体" w:hint="eastAsia"/>
                <w:kern w:val="0"/>
                <w:szCs w:val="21"/>
              </w:rPr>
              <w:t>、C</w:t>
            </w:r>
            <w:r w:rsidR="00A601F6" w:rsidRPr="009A1C14">
              <w:rPr>
                <w:rFonts w:ascii="黑体" w:eastAsia="黑体" w:hAnsi="黑体" w:cs="黑体" w:hint="eastAsia"/>
                <w:kern w:val="0"/>
                <w:szCs w:val="21"/>
              </w:rPr>
              <w:t>、D</w:t>
            </w:r>
            <w:r w:rsidRPr="009A1C14">
              <w:rPr>
                <w:rFonts w:ascii="黑体" w:eastAsia="黑体" w:hAnsi="黑体" w:cs="黑体"/>
                <w:kern w:val="0"/>
                <w:szCs w:val="21"/>
              </w:rPr>
              <w:t>份额：</w:t>
            </w:r>
            <w:r w:rsidRPr="009A1C14">
              <w:rPr>
                <w:rFonts w:ascii="黑体" w:eastAsia="黑体" w:hAnsi="黑体" w:cs="黑体" w:hint="eastAsia"/>
                <w:kern w:val="0"/>
                <w:szCs w:val="21"/>
              </w:rPr>
              <w:t>个人投资者</w:t>
            </w:r>
            <w:r w:rsidRPr="009A1C14">
              <w:rPr>
                <w:rFonts w:ascii="黑体" w:eastAsia="黑体" w:hAnsi="黑体" w:cs="黑体"/>
                <w:kern w:val="0"/>
                <w:szCs w:val="21"/>
              </w:rPr>
              <w:t>1元起售，机构投资者10元起售</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（销售机构可以不低于上述标准设置起购金额，投资者购买本理财产品时以该销售机构最终要求为准）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追加购买</w:t>
            </w:r>
            <w:r w:rsidRPr="009A1C14">
              <w:rPr>
                <w:rFonts w:ascii="黑体" w:eastAsia="黑体" w:hAnsi="黑体" w:cs="黑体"/>
                <w:kern w:val="0"/>
                <w:szCs w:val="21"/>
              </w:rPr>
              <w:t>金额</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A、B</w:t>
            </w:r>
            <w:r w:rsidR="00005CBA" w:rsidRPr="009A1C14">
              <w:rPr>
                <w:rFonts w:ascii="黑体" w:eastAsia="黑体" w:hAnsi="黑体" w:cs="黑体" w:hint="eastAsia"/>
                <w:kern w:val="0"/>
                <w:szCs w:val="21"/>
              </w:rPr>
              <w:t>、C</w:t>
            </w:r>
            <w:r w:rsidR="00A601F6" w:rsidRPr="009A1C14">
              <w:rPr>
                <w:rFonts w:ascii="黑体" w:eastAsia="黑体" w:hAnsi="黑体" w:cs="黑体" w:hint="eastAsia"/>
                <w:kern w:val="0"/>
                <w:szCs w:val="21"/>
              </w:rPr>
              <w:t>、D</w:t>
            </w:r>
            <w:r w:rsidRPr="009A1C14">
              <w:rPr>
                <w:rFonts w:ascii="黑体" w:eastAsia="黑体" w:hAnsi="黑体" w:cs="黑体" w:hint="eastAsia"/>
                <w:kern w:val="0"/>
                <w:szCs w:val="21"/>
              </w:rPr>
              <w:t>份额：追加金额以1元整数倍增加，追加购买金额中不足1元的部分，产品管理人有权不确认</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（销售机构可以不低于上述标准设置追加购买金额，投资者购买本理财产品时以该销售机构最终要求为准）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最低</w:t>
            </w:r>
            <w:r w:rsidRPr="009A1C14">
              <w:rPr>
                <w:rFonts w:ascii="黑体" w:eastAsia="黑体" w:hAnsi="黑体" w:cs="黑体"/>
                <w:kern w:val="0"/>
                <w:szCs w:val="21"/>
              </w:rPr>
              <w:t>赎回起点份额</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0.01份（具体以销售机构的规则为准）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追加</w:t>
            </w:r>
            <w:r w:rsidRPr="009A1C14">
              <w:rPr>
                <w:rFonts w:ascii="黑体" w:eastAsia="黑体" w:hAnsi="黑体" w:cs="黑体"/>
                <w:kern w:val="0"/>
                <w:szCs w:val="21"/>
              </w:rPr>
              <w:t>赎回份额</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0.01份（具体以销售机构的规则为准）</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单日单户申赎限额</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1、</w:t>
            </w:r>
            <w:r w:rsidRPr="009A1C14">
              <w:rPr>
                <w:rFonts w:ascii="黑体" w:eastAsia="黑体" w:hAnsi="黑体" w:cs="黑体" w:hint="eastAsia"/>
                <w:b/>
                <w:bCs/>
                <w:kern w:val="0"/>
                <w:szCs w:val="21"/>
              </w:rPr>
              <w:t>单个投资者对本产品单个开放日的申购金额上限为</w:t>
            </w:r>
            <w:r w:rsidR="00D24892" w:rsidRPr="009A1C14">
              <w:rPr>
                <w:rFonts w:ascii="黑体" w:eastAsia="黑体" w:hAnsi="黑体" w:cs="黑体" w:hint="eastAsia"/>
                <w:b/>
                <w:bCs/>
                <w:kern w:val="0"/>
                <w:szCs w:val="21"/>
              </w:rPr>
              <w:t>：A、B</w:t>
            </w:r>
            <w:r w:rsidR="00005CBA" w:rsidRPr="009A1C14">
              <w:rPr>
                <w:rFonts w:ascii="黑体" w:eastAsia="黑体" w:hAnsi="黑体" w:cs="黑体" w:hint="eastAsia"/>
                <w:b/>
                <w:bCs/>
                <w:kern w:val="0"/>
                <w:szCs w:val="21"/>
              </w:rPr>
              <w:t>、</w:t>
            </w:r>
            <w:r w:rsidR="00005CBA" w:rsidRPr="009A1C14">
              <w:rPr>
                <w:rFonts w:ascii="黑体" w:eastAsia="黑体" w:hAnsi="黑体" w:cs="黑体"/>
                <w:b/>
                <w:bCs/>
                <w:kern w:val="0"/>
                <w:szCs w:val="21"/>
              </w:rPr>
              <w:t>C</w:t>
            </w:r>
            <w:r w:rsidR="00A601F6" w:rsidRPr="009A1C14">
              <w:rPr>
                <w:rFonts w:ascii="黑体" w:eastAsia="黑体" w:hAnsi="黑体" w:cs="黑体" w:hint="eastAsia"/>
                <w:b/>
                <w:bCs/>
                <w:kern w:val="0"/>
                <w:szCs w:val="21"/>
              </w:rPr>
              <w:t>、</w:t>
            </w:r>
            <w:r w:rsidR="00A601F6" w:rsidRPr="009A1C14">
              <w:rPr>
                <w:rFonts w:ascii="黑体" w:eastAsia="黑体" w:hAnsi="黑体" w:cs="黑体"/>
                <w:b/>
                <w:bCs/>
                <w:kern w:val="0"/>
                <w:szCs w:val="21"/>
              </w:rPr>
              <w:t>D</w:t>
            </w:r>
            <w:r w:rsidR="00D24892" w:rsidRPr="009A1C14">
              <w:rPr>
                <w:rFonts w:ascii="黑体" w:eastAsia="黑体" w:hAnsi="黑体" w:cs="黑体" w:hint="eastAsia"/>
                <w:b/>
                <w:bCs/>
                <w:kern w:val="0"/>
                <w:szCs w:val="21"/>
              </w:rPr>
              <w:t>份额：</w:t>
            </w:r>
            <w:r w:rsidRPr="009A1C14">
              <w:rPr>
                <w:rFonts w:ascii="黑体" w:eastAsia="黑体" w:hAnsi="黑体" w:cs="黑体" w:hint="eastAsia"/>
                <w:b/>
                <w:bCs/>
                <w:kern w:val="0"/>
                <w:szCs w:val="21"/>
              </w:rPr>
              <w:t>个人投资者无上限，机构投资者无上限；</w:t>
            </w:r>
            <w:r w:rsidRPr="009A1C14">
              <w:rPr>
                <w:rFonts w:ascii="黑体" w:eastAsia="黑体" w:hAnsi="黑体" w:cs="黑体" w:hint="eastAsia"/>
                <w:kern w:val="0"/>
                <w:szCs w:val="21"/>
              </w:rPr>
              <w:t>若单个投资者在单个开放日对本产品的申购金额达到上限的，产品管理人有权不再继续接受其申购；</w:t>
            </w:r>
          </w:p>
          <w:p w:rsidR="00B16FFD" w:rsidRPr="009A1C14" w:rsidRDefault="00007F89" w:rsidP="00AB2A6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2、</w:t>
            </w:r>
            <w:r w:rsidRPr="009A1C14">
              <w:rPr>
                <w:rFonts w:ascii="黑体" w:eastAsia="黑体" w:hAnsi="黑体" w:cs="黑体" w:hint="eastAsia"/>
                <w:b/>
                <w:bCs/>
                <w:kern w:val="0"/>
                <w:szCs w:val="21"/>
              </w:rPr>
              <w:t>单个投资者对本产品单个开放日的赎回份额上限为：A份额：个人投资者</w:t>
            </w:r>
            <w:r w:rsidRPr="009A1C14">
              <w:rPr>
                <w:rFonts w:ascii="黑体" w:eastAsia="黑体" w:hAnsi="黑体" w:cs="黑体"/>
                <w:b/>
                <w:bCs/>
                <w:kern w:val="0"/>
                <w:szCs w:val="21"/>
              </w:rPr>
              <w:t>25</w:t>
            </w:r>
            <w:r w:rsidRPr="009A1C14">
              <w:rPr>
                <w:rFonts w:ascii="黑体" w:eastAsia="黑体" w:hAnsi="黑体" w:cs="黑体" w:hint="eastAsia"/>
                <w:b/>
                <w:bCs/>
                <w:kern w:val="0"/>
                <w:szCs w:val="21"/>
              </w:rPr>
              <w:t>00万份，机构投资者</w:t>
            </w:r>
            <w:r w:rsidRPr="009A1C14">
              <w:rPr>
                <w:rFonts w:ascii="黑体" w:eastAsia="黑体" w:hAnsi="黑体" w:cs="黑体"/>
                <w:b/>
                <w:bCs/>
                <w:kern w:val="0"/>
                <w:szCs w:val="21"/>
              </w:rPr>
              <w:t>2500</w:t>
            </w:r>
            <w:r w:rsidRPr="009A1C14">
              <w:rPr>
                <w:rFonts w:ascii="黑体" w:eastAsia="黑体" w:hAnsi="黑体" w:cs="黑体" w:hint="eastAsia"/>
                <w:b/>
                <w:bCs/>
                <w:kern w:val="0"/>
                <w:szCs w:val="21"/>
              </w:rPr>
              <w:t>万份；B份额：个人投资者无上限，机构投资者无上限</w:t>
            </w:r>
            <w:r w:rsidR="00005CBA" w:rsidRPr="009A1C14">
              <w:rPr>
                <w:rFonts w:ascii="黑体" w:eastAsia="黑体" w:hAnsi="黑体" w:cs="黑体" w:hint="eastAsia"/>
                <w:b/>
                <w:bCs/>
                <w:kern w:val="0"/>
                <w:szCs w:val="21"/>
              </w:rPr>
              <w:t>；</w:t>
            </w:r>
            <w:r w:rsidR="00005CBA" w:rsidRPr="009A1C14">
              <w:rPr>
                <w:rFonts w:ascii="黑体" w:eastAsia="黑体" w:hAnsi="黑体" w:cs="黑体"/>
                <w:b/>
                <w:kern w:val="0"/>
                <w:szCs w:val="21"/>
              </w:rPr>
              <w:t>C份额：</w:t>
            </w:r>
            <w:r w:rsidR="00005CBA" w:rsidRPr="009A1C14">
              <w:rPr>
                <w:rFonts w:ascii="黑体" w:eastAsia="黑体" w:hAnsi="黑体" w:cs="黑体" w:hint="eastAsia"/>
                <w:b/>
                <w:bCs/>
                <w:kern w:val="0"/>
                <w:szCs w:val="21"/>
              </w:rPr>
              <w:t>机构投资者</w:t>
            </w:r>
            <w:r w:rsidR="00C85A0F" w:rsidRPr="009A1C14">
              <w:rPr>
                <w:rFonts w:ascii="黑体" w:eastAsia="黑体" w:hAnsi="黑体" w:cs="黑体"/>
                <w:b/>
                <w:bCs/>
                <w:kern w:val="0"/>
                <w:szCs w:val="21"/>
              </w:rPr>
              <w:t>2.5</w:t>
            </w:r>
            <w:r w:rsidR="00C85A0F" w:rsidRPr="009A1C14">
              <w:rPr>
                <w:rFonts w:ascii="黑体" w:eastAsia="黑体" w:hAnsi="黑体" w:cs="黑体" w:hint="eastAsia"/>
                <w:b/>
                <w:bCs/>
                <w:kern w:val="0"/>
                <w:szCs w:val="21"/>
              </w:rPr>
              <w:t>亿</w:t>
            </w:r>
            <w:r w:rsidR="00005CBA" w:rsidRPr="009A1C14">
              <w:rPr>
                <w:rFonts w:ascii="黑体" w:eastAsia="黑体" w:hAnsi="黑体" w:cs="黑体" w:hint="eastAsia"/>
                <w:b/>
                <w:bCs/>
                <w:kern w:val="0"/>
                <w:szCs w:val="21"/>
              </w:rPr>
              <w:t>份</w:t>
            </w:r>
            <w:r w:rsidR="00AB2A69" w:rsidRPr="009A1C14">
              <w:rPr>
                <w:rFonts w:ascii="黑体" w:eastAsia="黑体" w:hAnsi="黑体" w:cs="黑体" w:hint="eastAsia"/>
                <w:b/>
                <w:bCs/>
                <w:kern w:val="0"/>
                <w:szCs w:val="21"/>
              </w:rPr>
              <w:t>；</w:t>
            </w:r>
            <w:r w:rsidR="00AB2A69" w:rsidRPr="009A1C14">
              <w:rPr>
                <w:rFonts w:ascii="黑体" w:eastAsia="黑体" w:hAnsi="黑体" w:cs="黑体"/>
                <w:b/>
                <w:kern w:val="0"/>
                <w:szCs w:val="21"/>
              </w:rPr>
              <w:t>D份额：</w:t>
            </w:r>
            <w:r w:rsidR="00AB2A69" w:rsidRPr="009A1C14">
              <w:rPr>
                <w:rFonts w:ascii="黑体" w:eastAsia="黑体" w:hAnsi="黑体" w:cs="黑体" w:hint="eastAsia"/>
                <w:b/>
                <w:kern w:val="0"/>
                <w:szCs w:val="21"/>
              </w:rPr>
              <w:t>个人</w:t>
            </w:r>
            <w:r w:rsidR="00AB2A69" w:rsidRPr="009A1C14">
              <w:rPr>
                <w:rFonts w:ascii="黑体" w:eastAsia="黑体" w:hAnsi="黑体" w:cs="黑体" w:hint="eastAsia"/>
                <w:b/>
                <w:bCs/>
                <w:kern w:val="0"/>
                <w:szCs w:val="21"/>
              </w:rPr>
              <w:t>投资者</w:t>
            </w:r>
            <w:r w:rsidR="00AB2A69" w:rsidRPr="009A1C14">
              <w:rPr>
                <w:rFonts w:ascii="黑体" w:eastAsia="黑体" w:hAnsi="黑体" w:cs="黑体"/>
                <w:b/>
                <w:bCs/>
                <w:kern w:val="0"/>
                <w:szCs w:val="21"/>
              </w:rPr>
              <w:t>1</w:t>
            </w:r>
            <w:r w:rsidR="00AB2A69" w:rsidRPr="009A1C14">
              <w:rPr>
                <w:rFonts w:ascii="黑体" w:eastAsia="黑体" w:hAnsi="黑体" w:cs="黑体" w:hint="eastAsia"/>
                <w:b/>
                <w:bCs/>
                <w:kern w:val="0"/>
                <w:szCs w:val="21"/>
              </w:rPr>
              <w:t>亿份，机构投资者</w:t>
            </w:r>
            <w:r w:rsidR="00AB2A69" w:rsidRPr="009A1C14">
              <w:rPr>
                <w:rFonts w:ascii="黑体" w:eastAsia="黑体" w:hAnsi="黑体" w:cs="黑体"/>
                <w:b/>
                <w:bCs/>
                <w:kern w:val="0"/>
                <w:szCs w:val="21"/>
              </w:rPr>
              <w:t>1</w:t>
            </w:r>
            <w:r w:rsidR="00AB2A69" w:rsidRPr="009A1C14">
              <w:rPr>
                <w:rFonts w:ascii="黑体" w:eastAsia="黑体" w:hAnsi="黑体" w:cs="黑体" w:hint="eastAsia"/>
                <w:b/>
                <w:bCs/>
                <w:kern w:val="0"/>
                <w:szCs w:val="21"/>
              </w:rPr>
              <w:t>亿份</w:t>
            </w:r>
            <w:r w:rsidRPr="009A1C14">
              <w:rPr>
                <w:rFonts w:ascii="黑体" w:eastAsia="黑体" w:hAnsi="黑体" w:cs="黑体" w:hint="eastAsia"/>
                <w:b/>
                <w:bCs/>
                <w:kern w:val="0"/>
                <w:szCs w:val="21"/>
              </w:rPr>
              <w:t>。</w:t>
            </w:r>
            <w:r w:rsidRPr="009A1C14">
              <w:rPr>
                <w:rFonts w:ascii="黑体" w:eastAsia="黑体" w:hAnsi="黑体" w:cs="黑体" w:hint="eastAsia"/>
                <w:kern w:val="0"/>
                <w:szCs w:val="21"/>
              </w:rPr>
              <w:t>若单个投资者在单个开放日对本产品的赎回份额达到上限的，产品管理人有权不再继续接受其赎回。</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单户</w:t>
            </w:r>
            <w:r w:rsidRPr="009A1C14">
              <w:rPr>
                <w:rFonts w:ascii="黑体" w:eastAsia="黑体" w:hAnsi="黑体" w:cs="黑体"/>
                <w:kern w:val="0"/>
                <w:szCs w:val="21"/>
              </w:rPr>
              <w:t>限额</w:t>
            </w:r>
          </w:p>
        </w:tc>
        <w:tc>
          <w:tcPr>
            <w:tcW w:w="6458" w:type="dxa"/>
          </w:tcPr>
          <w:p w:rsidR="00B16FFD" w:rsidRPr="009A1C14" w:rsidRDefault="00007F89">
            <w:pPr>
              <w:pStyle w:val="af0"/>
              <w:autoSpaceDE w:val="0"/>
              <w:autoSpaceDN w:val="0"/>
              <w:adjustRightInd w:val="0"/>
              <w:ind w:firstLineChars="0" w:firstLine="0"/>
              <w:jc w:val="left"/>
              <w:rPr>
                <w:rFonts w:ascii="黑体" w:eastAsia="黑体" w:hAnsi="黑体" w:cs="黑体"/>
                <w:kern w:val="0"/>
                <w:szCs w:val="21"/>
              </w:rPr>
            </w:pPr>
            <w:r w:rsidRPr="009A1C14">
              <w:rPr>
                <w:rFonts w:ascii="黑体" w:eastAsia="黑体" w:hAnsi="黑体" w:cs="黑体"/>
                <w:kern w:val="0"/>
                <w:szCs w:val="21"/>
              </w:rPr>
              <w:t>1</w:t>
            </w:r>
            <w:r w:rsidRPr="009A1C14">
              <w:rPr>
                <w:rFonts w:ascii="黑体" w:eastAsia="黑体" w:hAnsi="黑体" w:cs="黑体" w:hint="eastAsia"/>
                <w:kern w:val="0"/>
                <w:szCs w:val="21"/>
              </w:rPr>
              <w:t>、</w:t>
            </w:r>
            <w:r w:rsidRPr="009A1C14">
              <w:rPr>
                <w:rFonts w:ascii="黑体" w:eastAsia="黑体" w:hAnsi="黑体" w:cs="黑体" w:hint="eastAsia"/>
                <w:b/>
                <w:bCs/>
                <w:kern w:val="0"/>
                <w:szCs w:val="21"/>
              </w:rPr>
              <w:t>单个投资者对本产品持有金额上限为：</w:t>
            </w:r>
            <w:r w:rsidRPr="009A1C14">
              <w:rPr>
                <w:rFonts w:ascii="黑体" w:eastAsia="黑体" w:hAnsi="黑体" w:cs="黑体"/>
                <w:b/>
                <w:bCs/>
                <w:kern w:val="0"/>
                <w:szCs w:val="21"/>
              </w:rPr>
              <w:t>A</w:t>
            </w:r>
            <w:r w:rsidRPr="009A1C14">
              <w:rPr>
                <w:rFonts w:ascii="黑体" w:eastAsia="黑体" w:hAnsi="黑体" w:cs="黑体" w:hint="eastAsia"/>
                <w:b/>
                <w:bCs/>
                <w:kern w:val="0"/>
                <w:szCs w:val="21"/>
              </w:rPr>
              <w:t>份额：个人投资者</w:t>
            </w:r>
            <w:r w:rsidRPr="009A1C14">
              <w:rPr>
                <w:rFonts w:ascii="黑体" w:eastAsia="黑体" w:hAnsi="黑体" w:cs="黑体"/>
                <w:b/>
                <w:bCs/>
                <w:kern w:val="0"/>
                <w:szCs w:val="21"/>
              </w:rPr>
              <w:t>1</w:t>
            </w:r>
            <w:r w:rsidRPr="009A1C14">
              <w:rPr>
                <w:rFonts w:ascii="黑体" w:eastAsia="黑体" w:hAnsi="黑体" w:cs="黑体" w:hint="eastAsia"/>
                <w:b/>
                <w:bCs/>
                <w:kern w:val="0"/>
                <w:szCs w:val="21"/>
              </w:rPr>
              <w:t>亿元，机构投资者</w:t>
            </w:r>
            <w:r w:rsidRPr="009A1C14">
              <w:rPr>
                <w:rFonts w:ascii="黑体" w:eastAsia="黑体" w:hAnsi="黑体" w:cs="黑体"/>
                <w:b/>
                <w:bCs/>
                <w:kern w:val="0"/>
                <w:szCs w:val="21"/>
              </w:rPr>
              <w:t>1</w:t>
            </w:r>
            <w:r w:rsidRPr="009A1C14">
              <w:rPr>
                <w:rFonts w:ascii="黑体" w:eastAsia="黑体" w:hAnsi="黑体" w:cs="黑体" w:hint="eastAsia"/>
                <w:b/>
                <w:bCs/>
                <w:kern w:val="0"/>
                <w:szCs w:val="21"/>
              </w:rPr>
              <w:t>亿元</w:t>
            </w:r>
            <w:r w:rsidRPr="009A1C14">
              <w:rPr>
                <w:rFonts w:ascii="黑体" w:hAnsi="黑体" w:hint="eastAsia"/>
                <w:b/>
                <w:kern w:val="0"/>
              </w:rPr>
              <w:t>；</w:t>
            </w:r>
            <w:r w:rsidRPr="009A1C14">
              <w:rPr>
                <w:rFonts w:ascii="黑体" w:eastAsia="黑体" w:hAnsi="黑体" w:cs="黑体"/>
                <w:b/>
                <w:bCs/>
                <w:kern w:val="0"/>
                <w:szCs w:val="21"/>
              </w:rPr>
              <w:t>B</w:t>
            </w:r>
            <w:r w:rsidRPr="009A1C14">
              <w:rPr>
                <w:rFonts w:ascii="黑体" w:eastAsia="黑体" w:hAnsi="黑体" w:cs="黑体" w:hint="eastAsia"/>
                <w:b/>
                <w:bCs/>
                <w:kern w:val="0"/>
                <w:szCs w:val="21"/>
              </w:rPr>
              <w:t>份额：个人投资者无上限，机构投资者无上限</w:t>
            </w:r>
            <w:r w:rsidR="00005CBA" w:rsidRPr="009A1C14">
              <w:rPr>
                <w:rFonts w:ascii="黑体" w:eastAsia="黑体" w:hAnsi="黑体" w:cs="黑体" w:hint="eastAsia"/>
                <w:b/>
                <w:bCs/>
                <w:kern w:val="0"/>
                <w:szCs w:val="21"/>
              </w:rPr>
              <w:t>；C份额：机构投资者</w:t>
            </w:r>
            <w:r w:rsidR="00C85A0F" w:rsidRPr="009A1C14">
              <w:rPr>
                <w:rFonts w:ascii="黑体" w:eastAsia="黑体" w:hAnsi="黑体" w:cs="黑体"/>
                <w:b/>
                <w:bCs/>
                <w:kern w:val="0"/>
                <w:szCs w:val="21"/>
              </w:rPr>
              <w:t>5</w:t>
            </w:r>
            <w:r w:rsidR="00005CBA" w:rsidRPr="009A1C14">
              <w:rPr>
                <w:rFonts w:ascii="黑体" w:eastAsia="黑体" w:hAnsi="黑体" w:cs="黑体" w:hint="eastAsia"/>
                <w:b/>
                <w:bCs/>
                <w:kern w:val="0"/>
                <w:szCs w:val="21"/>
              </w:rPr>
              <w:t>亿元</w:t>
            </w:r>
            <w:r w:rsidR="00AB2A69" w:rsidRPr="009A1C14">
              <w:rPr>
                <w:rFonts w:ascii="黑体" w:eastAsia="黑体" w:hAnsi="黑体" w:cs="黑体" w:hint="eastAsia"/>
                <w:b/>
                <w:bCs/>
                <w:kern w:val="0"/>
                <w:szCs w:val="21"/>
              </w:rPr>
              <w:t>；</w:t>
            </w:r>
            <w:r w:rsidR="00AB2A69" w:rsidRPr="009A1C14">
              <w:rPr>
                <w:rFonts w:ascii="黑体" w:eastAsia="黑体" w:hAnsi="黑体" w:cs="黑体"/>
                <w:b/>
                <w:bCs/>
                <w:kern w:val="0"/>
                <w:szCs w:val="21"/>
              </w:rPr>
              <w:t>D</w:t>
            </w:r>
            <w:r w:rsidR="00AB2A69" w:rsidRPr="009A1C14">
              <w:rPr>
                <w:rFonts w:ascii="黑体" w:eastAsia="黑体" w:hAnsi="黑体" w:cs="黑体" w:hint="eastAsia"/>
                <w:b/>
                <w:bCs/>
                <w:kern w:val="0"/>
                <w:szCs w:val="21"/>
              </w:rPr>
              <w:t>份额：个人投资者</w:t>
            </w:r>
            <w:r w:rsidR="00AB2A69" w:rsidRPr="009A1C14">
              <w:rPr>
                <w:rFonts w:ascii="黑体" w:eastAsia="黑体" w:hAnsi="黑体" w:cs="黑体"/>
                <w:b/>
                <w:bCs/>
                <w:kern w:val="0"/>
                <w:szCs w:val="21"/>
              </w:rPr>
              <w:t>2</w:t>
            </w:r>
            <w:r w:rsidR="00AB2A69" w:rsidRPr="009A1C14">
              <w:rPr>
                <w:rFonts w:ascii="黑体" w:eastAsia="黑体" w:hAnsi="黑体" w:cs="黑体" w:hint="eastAsia"/>
                <w:b/>
                <w:bCs/>
                <w:kern w:val="0"/>
                <w:szCs w:val="21"/>
              </w:rPr>
              <w:t>亿元,机构投资者</w:t>
            </w:r>
            <w:r w:rsidR="00AB2A69" w:rsidRPr="009A1C14">
              <w:rPr>
                <w:rFonts w:ascii="黑体" w:eastAsia="黑体" w:hAnsi="黑体" w:cs="黑体"/>
                <w:b/>
                <w:bCs/>
                <w:kern w:val="0"/>
                <w:szCs w:val="21"/>
              </w:rPr>
              <w:t>2</w:t>
            </w:r>
            <w:r w:rsidR="00AB2A69" w:rsidRPr="009A1C14">
              <w:rPr>
                <w:rFonts w:ascii="黑体" w:eastAsia="黑体" w:hAnsi="黑体" w:cs="黑体" w:hint="eastAsia"/>
                <w:b/>
                <w:bCs/>
                <w:kern w:val="0"/>
                <w:szCs w:val="21"/>
              </w:rPr>
              <w:t>亿元</w:t>
            </w:r>
            <w:r w:rsidRPr="009A1C14">
              <w:rPr>
                <w:rFonts w:ascii="黑体" w:eastAsia="黑体" w:hAnsi="黑体" w:cs="黑体" w:hint="eastAsia"/>
                <w:kern w:val="0"/>
                <w:szCs w:val="21"/>
              </w:rPr>
              <w:t>。若单个投资者对本产品持有金额达到上限的，产品管理人</w:t>
            </w:r>
            <w:r w:rsidR="004E4298" w:rsidRPr="009A1C14">
              <w:rPr>
                <w:rFonts w:ascii="黑体" w:eastAsia="黑体" w:hAnsi="黑体" w:cs="黑体" w:hint="eastAsia"/>
                <w:kern w:val="0"/>
                <w:szCs w:val="21"/>
              </w:rPr>
              <w:t>有权</w:t>
            </w:r>
            <w:r w:rsidRPr="009A1C14">
              <w:rPr>
                <w:rFonts w:ascii="黑体" w:eastAsia="黑体" w:hAnsi="黑体" w:cs="黑体" w:hint="eastAsia"/>
                <w:kern w:val="0"/>
                <w:szCs w:val="21"/>
              </w:rPr>
              <w:t>不再继续接受其认（申）购；</w:t>
            </w:r>
            <w:r w:rsidR="00C0363E" w:rsidRPr="009A1C14">
              <w:rPr>
                <w:rFonts w:ascii="黑体" w:eastAsia="黑体" w:hAnsi="黑体" w:cs="黑体" w:hint="eastAsia"/>
                <w:kern w:val="0"/>
                <w:szCs w:val="21"/>
              </w:rPr>
              <w:t>若单个投资者对本产品持有金额达到上限以后仍有认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rsidR="00EB6C40" w:rsidRPr="009A1C14" w:rsidRDefault="00EB6C40" w:rsidP="00731DFD">
            <w:pPr>
              <w:autoSpaceDE w:val="0"/>
              <w:autoSpaceDN w:val="0"/>
              <w:adjustRightInd w:val="0"/>
              <w:jc w:val="left"/>
              <w:rPr>
                <w:rFonts w:ascii="黑体" w:hAnsi="黑体"/>
                <w:kern w:val="0"/>
              </w:rPr>
            </w:pPr>
            <w:r w:rsidRPr="009A1C14">
              <w:rPr>
                <w:rFonts w:ascii="黑体" w:eastAsia="黑体" w:hAnsi="黑体" w:cs="黑体" w:hint="eastAsia"/>
                <w:kern w:val="0"/>
                <w:szCs w:val="21"/>
              </w:rPr>
              <w:t>非因产品管理人主观因素导致</w:t>
            </w:r>
            <w:r w:rsidRPr="009A1C14">
              <w:rPr>
                <w:rFonts w:ascii="黑体" w:eastAsia="黑体" w:hAnsi="黑体" w:cs="黑体"/>
                <w:kern w:val="0"/>
                <w:szCs w:val="21"/>
              </w:rPr>
              <w:t>单</w:t>
            </w:r>
            <w:r w:rsidRPr="009A1C14">
              <w:rPr>
                <w:rFonts w:ascii="黑体" w:eastAsia="黑体" w:hAnsi="黑体" w:cs="黑体" w:hint="eastAsia"/>
                <w:kern w:val="0"/>
                <w:szCs w:val="21"/>
              </w:rPr>
              <w:t>一</w:t>
            </w:r>
            <w:r w:rsidRPr="009A1C14">
              <w:rPr>
                <w:rFonts w:ascii="黑体" w:eastAsia="黑体" w:hAnsi="黑体" w:cs="黑体"/>
                <w:kern w:val="0"/>
                <w:szCs w:val="21"/>
              </w:rPr>
              <w:t>投资者持有份额比例超过</w:t>
            </w:r>
            <w:r w:rsidRPr="009A1C14">
              <w:rPr>
                <w:rFonts w:ascii="黑体" w:eastAsia="黑体" w:hAnsi="黑体" w:cs="黑体" w:hint="eastAsia"/>
                <w:kern w:val="0"/>
                <w:szCs w:val="21"/>
              </w:rPr>
              <w:t>总份额</w:t>
            </w:r>
            <w:r w:rsidRPr="009A1C14">
              <w:rPr>
                <w:rFonts w:ascii="黑体" w:eastAsia="黑体" w:hAnsi="黑体" w:cs="黑体"/>
                <w:kern w:val="0"/>
                <w:szCs w:val="21"/>
              </w:rPr>
              <w:t>的50%</w:t>
            </w:r>
            <w:r w:rsidRPr="009A1C14">
              <w:rPr>
                <w:rFonts w:ascii="黑体" w:eastAsia="黑体" w:hAnsi="黑体" w:cs="黑体" w:hint="eastAsia"/>
                <w:kern w:val="0"/>
                <w:szCs w:val="21"/>
              </w:rPr>
              <w:t>（含</w:t>
            </w:r>
            <w:r w:rsidRPr="009A1C14">
              <w:rPr>
                <w:rFonts w:ascii="黑体" w:eastAsia="黑体" w:hAnsi="黑体" w:cs="黑体"/>
                <w:kern w:val="0"/>
                <w:szCs w:val="21"/>
              </w:rPr>
              <w:t>）时，</w:t>
            </w:r>
            <w:r w:rsidRPr="009A1C14">
              <w:rPr>
                <w:rFonts w:ascii="黑体" w:eastAsia="黑体" w:hAnsi="黑体" w:cs="黑体" w:hint="eastAsia"/>
                <w:kern w:val="0"/>
                <w:szCs w:val="21"/>
              </w:rPr>
              <w:t>产品</w:t>
            </w:r>
            <w:r w:rsidRPr="009A1C14">
              <w:rPr>
                <w:rFonts w:ascii="黑体" w:eastAsia="黑体" w:hAnsi="黑体" w:cs="黑体"/>
                <w:kern w:val="0"/>
                <w:szCs w:val="21"/>
              </w:rPr>
              <w:t>管理人</w:t>
            </w:r>
            <w:r w:rsidRPr="009A1C14">
              <w:rPr>
                <w:rFonts w:ascii="黑体" w:eastAsia="黑体" w:hAnsi="黑体" w:cs="黑体" w:hint="eastAsia"/>
                <w:kern w:val="0"/>
                <w:szCs w:val="21"/>
              </w:rPr>
              <w:t>将暂停接受</w:t>
            </w:r>
            <w:r w:rsidRPr="009A1C14">
              <w:rPr>
                <w:rFonts w:ascii="黑体" w:eastAsia="黑体" w:hAnsi="黑体" w:cs="黑体"/>
                <w:kern w:val="0"/>
                <w:szCs w:val="21"/>
              </w:rPr>
              <w:t>其</w:t>
            </w:r>
            <w:r w:rsidRPr="009A1C14">
              <w:rPr>
                <w:rFonts w:ascii="黑体" w:eastAsia="黑体" w:hAnsi="黑体" w:cs="黑体" w:hint="eastAsia"/>
                <w:kern w:val="0"/>
                <w:szCs w:val="21"/>
              </w:rPr>
              <w:t>认（</w:t>
            </w:r>
            <w:r w:rsidRPr="009A1C14">
              <w:rPr>
                <w:rFonts w:ascii="黑体" w:eastAsia="黑体" w:hAnsi="黑体" w:cs="黑体"/>
                <w:kern w:val="0"/>
                <w:szCs w:val="21"/>
              </w:rPr>
              <w:t>申</w:t>
            </w:r>
            <w:r w:rsidRPr="009A1C14">
              <w:rPr>
                <w:rFonts w:ascii="黑体" w:eastAsia="黑体" w:hAnsi="黑体" w:cs="黑体" w:hint="eastAsia"/>
                <w:kern w:val="0"/>
                <w:szCs w:val="21"/>
              </w:rPr>
              <w:t>）</w:t>
            </w:r>
            <w:r w:rsidRPr="009A1C14">
              <w:rPr>
                <w:rFonts w:ascii="黑体" w:eastAsia="黑体" w:hAnsi="黑体" w:cs="黑体"/>
                <w:kern w:val="0"/>
                <w:szCs w:val="21"/>
              </w:rPr>
              <w:t>购申请</w:t>
            </w:r>
            <w:r w:rsidRPr="009A1C14">
              <w:rPr>
                <w:rFonts w:ascii="黑体" w:hAnsi="黑体"/>
                <w:kern w:val="0"/>
              </w:rPr>
              <w:t>。</w:t>
            </w:r>
          </w:p>
          <w:p w:rsidR="00B16FFD" w:rsidRPr="009A1C14" w:rsidRDefault="00007F89">
            <w:pPr>
              <w:rPr>
                <w:rFonts w:ascii="黑体" w:eastAsia="黑体" w:hAnsi="黑体"/>
                <w:szCs w:val="21"/>
              </w:rPr>
            </w:pPr>
            <w:r w:rsidRPr="009A1C14">
              <w:rPr>
                <w:rFonts w:ascii="黑体" w:eastAsia="黑体" w:hAnsi="黑体" w:cs="黑体"/>
                <w:kern w:val="0"/>
                <w:szCs w:val="21"/>
              </w:rPr>
              <w:t>2</w:t>
            </w:r>
            <w:r w:rsidRPr="009A1C14">
              <w:rPr>
                <w:rFonts w:ascii="黑体" w:eastAsia="黑体" w:hAnsi="黑体" w:cs="黑体" w:hint="eastAsia"/>
                <w:kern w:val="0"/>
                <w:szCs w:val="21"/>
              </w:rPr>
              <w:t>、</w:t>
            </w:r>
            <w:r w:rsidRPr="009A1C14">
              <w:rPr>
                <w:rFonts w:ascii="黑体" w:eastAsia="黑体" w:hAnsi="黑体" w:cs="黑体" w:hint="eastAsia"/>
                <w:b/>
                <w:bCs/>
                <w:kern w:val="0"/>
                <w:szCs w:val="21"/>
              </w:rPr>
              <w:t>单个投资者对本产品</w:t>
            </w:r>
            <w:r w:rsidRPr="009A1C14">
              <w:rPr>
                <w:rFonts w:ascii="黑体" w:eastAsia="黑体" w:hAnsi="黑体" w:cs="黑体"/>
                <w:b/>
                <w:bCs/>
                <w:kern w:val="0"/>
                <w:szCs w:val="21"/>
              </w:rPr>
              <w:t>的</w:t>
            </w:r>
            <w:r w:rsidRPr="009A1C14">
              <w:rPr>
                <w:rFonts w:ascii="黑体" w:eastAsia="黑体" w:hAnsi="黑体" w:cs="黑体" w:hint="eastAsia"/>
                <w:b/>
                <w:bCs/>
                <w:kern w:val="0"/>
                <w:szCs w:val="21"/>
              </w:rPr>
              <w:t>每类份额</w:t>
            </w:r>
            <w:r w:rsidRPr="009A1C14">
              <w:rPr>
                <w:rFonts w:ascii="黑体" w:eastAsia="黑体" w:hAnsi="黑体" w:cs="黑体"/>
                <w:b/>
                <w:bCs/>
                <w:kern w:val="0"/>
                <w:szCs w:val="21"/>
              </w:rPr>
              <w:t>最低持有</w:t>
            </w:r>
            <w:r w:rsidRPr="009A1C14">
              <w:rPr>
                <w:rFonts w:ascii="黑体" w:eastAsia="黑体" w:hAnsi="黑体" w:cs="黑体" w:hint="eastAsia"/>
                <w:b/>
                <w:bCs/>
                <w:kern w:val="0"/>
                <w:szCs w:val="21"/>
              </w:rPr>
              <w:t>金额</w:t>
            </w:r>
            <w:r w:rsidRPr="009A1C14">
              <w:rPr>
                <w:rFonts w:ascii="黑体" w:eastAsia="黑体" w:hAnsi="黑体" w:cs="黑体"/>
                <w:b/>
                <w:bCs/>
                <w:kern w:val="0"/>
                <w:szCs w:val="21"/>
              </w:rPr>
              <w:t>为</w:t>
            </w:r>
            <w:r w:rsidR="00510AA6" w:rsidRPr="009A1C14">
              <w:rPr>
                <w:rFonts w:ascii="黑体" w:eastAsia="黑体" w:hAnsi="黑体" w:cs="黑体" w:hint="eastAsia"/>
                <w:b/>
                <w:bCs/>
                <w:kern w:val="0"/>
                <w:szCs w:val="21"/>
              </w:rPr>
              <w:t>：A、B</w:t>
            </w:r>
            <w:r w:rsidR="00DB7437" w:rsidRPr="009A1C14">
              <w:rPr>
                <w:rFonts w:ascii="黑体" w:eastAsia="黑体" w:hAnsi="黑体" w:cs="黑体" w:hint="eastAsia"/>
                <w:b/>
                <w:bCs/>
                <w:kern w:val="0"/>
                <w:szCs w:val="21"/>
              </w:rPr>
              <w:t>、C</w:t>
            </w:r>
            <w:r w:rsidR="0066632E" w:rsidRPr="009A1C14">
              <w:rPr>
                <w:rFonts w:ascii="黑体" w:eastAsia="黑体" w:hAnsi="黑体" w:cs="黑体" w:hint="eastAsia"/>
                <w:b/>
                <w:bCs/>
                <w:kern w:val="0"/>
                <w:szCs w:val="21"/>
              </w:rPr>
              <w:t>、D</w:t>
            </w:r>
            <w:r w:rsidR="00510AA6" w:rsidRPr="009A1C14">
              <w:rPr>
                <w:rFonts w:ascii="黑体" w:eastAsia="黑体" w:hAnsi="黑体" w:cs="黑体" w:hint="eastAsia"/>
                <w:b/>
                <w:bCs/>
                <w:kern w:val="0"/>
                <w:szCs w:val="21"/>
              </w:rPr>
              <w:t>份额：</w:t>
            </w:r>
            <w:r w:rsidRPr="009A1C14">
              <w:rPr>
                <w:rFonts w:ascii="黑体" w:eastAsia="黑体" w:hAnsi="黑体" w:cs="黑体" w:hint="eastAsia"/>
                <w:b/>
                <w:bCs/>
                <w:kern w:val="0"/>
                <w:szCs w:val="21"/>
              </w:rPr>
              <w:t>个人投资者1元，机构投资者1</w:t>
            </w:r>
            <w:r w:rsidRPr="009A1C14">
              <w:rPr>
                <w:rFonts w:ascii="黑体" w:eastAsia="黑体" w:hAnsi="黑体" w:cs="黑体"/>
                <w:b/>
                <w:bCs/>
                <w:kern w:val="0"/>
                <w:szCs w:val="21"/>
              </w:rPr>
              <w:t>0</w:t>
            </w:r>
            <w:r w:rsidRPr="009A1C14">
              <w:rPr>
                <w:rFonts w:ascii="黑体" w:eastAsia="黑体" w:hAnsi="黑体" w:cs="黑体" w:hint="eastAsia"/>
                <w:b/>
                <w:bCs/>
                <w:kern w:val="0"/>
                <w:szCs w:val="21"/>
              </w:rPr>
              <w:t>元，</w:t>
            </w:r>
            <w:r w:rsidRPr="009A1C14">
              <w:rPr>
                <w:rFonts w:ascii="黑体" w:eastAsia="黑体" w:hAnsi="黑体" w:cs="黑体" w:hint="eastAsia"/>
                <w:kern w:val="0"/>
                <w:szCs w:val="21"/>
              </w:rPr>
              <w:t>若投资者持有不足该金额</w:t>
            </w:r>
            <w:r w:rsidRPr="009A1C14">
              <w:rPr>
                <w:rFonts w:ascii="黑体" w:eastAsia="黑体" w:hAnsi="黑体" w:cs="黑体"/>
                <w:kern w:val="0"/>
                <w:szCs w:val="21"/>
              </w:rPr>
              <w:t>时</w:t>
            </w:r>
            <w:r w:rsidRPr="009A1C14">
              <w:rPr>
                <w:rFonts w:ascii="黑体" w:eastAsia="黑体" w:hAnsi="黑体" w:cs="黑体" w:hint="eastAsia"/>
                <w:kern w:val="0"/>
                <w:szCs w:val="21"/>
              </w:rPr>
              <w:t>，产品管理人可对投资者持有的产品剩余金额进行强制赎回。</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销售</w:t>
            </w:r>
            <w:r w:rsidRPr="009A1C14">
              <w:rPr>
                <w:rFonts w:ascii="黑体" w:eastAsia="黑体" w:hAnsi="黑体" w:cs="黑体"/>
                <w:kern w:val="0"/>
                <w:szCs w:val="21"/>
              </w:rPr>
              <w:t>区域</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全国（不含港澳台地区）</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lastRenderedPageBreak/>
              <w:t>管理</w:t>
            </w:r>
            <w:r w:rsidRPr="009A1C14">
              <w:rPr>
                <w:rFonts w:ascii="黑体" w:eastAsia="黑体" w:hAnsi="黑体" w:cs="黑体"/>
                <w:kern w:val="0"/>
                <w:szCs w:val="21"/>
              </w:rPr>
              <w:t>机构</w:t>
            </w:r>
            <w:r w:rsidRPr="009A1C14">
              <w:rPr>
                <w:rFonts w:ascii="黑体" w:eastAsia="黑体" w:hAnsi="黑体" w:cs="黑体" w:hint="eastAsia"/>
                <w:kern w:val="0"/>
                <w:szCs w:val="21"/>
              </w:rPr>
              <w:t>/产品</w:t>
            </w:r>
            <w:r w:rsidRPr="009A1C14">
              <w:rPr>
                <w:rFonts w:ascii="黑体" w:eastAsia="黑体" w:hAnsi="黑体" w:cs="黑体"/>
                <w:kern w:val="0"/>
                <w:szCs w:val="21"/>
              </w:rPr>
              <w:t>管理人</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宁银理财</w:t>
            </w:r>
            <w:r w:rsidRPr="009A1C14">
              <w:rPr>
                <w:rFonts w:ascii="黑体" w:eastAsia="黑体" w:hAnsi="黑体" w:cs="黑体"/>
                <w:kern w:val="0"/>
                <w:szCs w:val="21"/>
              </w:rPr>
              <w:t>有限责任公司</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销售</w:t>
            </w:r>
            <w:r w:rsidRPr="009A1C14">
              <w:rPr>
                <w:rFonts w:ascii="黑体" w:eastAsia="黑体" w:hAnsi="黑体" w:cs="黑体"/>
                <w:kern w:val="0"/>
                <w:szCs w:val="21"/>
              </w:rPr>
              <w:t>机构</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宁波银行股份有限公司、华侨永亨银行（中国）有限公司、长城华西银行股份有限公司、浙商银行股份有限公司</w:t>
            </w:r>
            <w:r w:rsidR="007A6FF8" w:rsidRPr="009A1C14">
              <w:rPr>
                <w:rFonts w:ascii="黑体" w:eastAsia="黑体" w:hAnsi="黑体" w:cs="黑体" w:hint="eastAsia"/>
                <w:kern w:val="0"/>
                <w:szCs w:val="21"/>
              </w:rPr>
              <w:t>、威海市商业银行股份有限公司</w:t>
            </w:r>
            <w:r w:rsidR="0033738C" w:rsidRPr="009A1C14">
              <w:rPr>
                <w:rFonts w:ascii="黑体" w:eastAsia="黑体" w:hAnsi="黑体" w:cs="黑体" w:hint="eastAsia"/>
                <w:kern w:val="0"/>
                <w:szCs w:val="21"/>
              </w:rPr>
              <w:t>、江苏江阴农村商业银行股份有限公司</w:t>
            </w:r>
            <w:r w:rsidR="002A1466" w:rsidRPr="009A1C14">
              <w:rPr>
                <w:rFonts w:ascii="黑体" w:eastAsia="黑体" w:hAnsi="黑体" w:cs="黑体" w:hint="eastAsia"/>
                <w:kern w:val="0"/>
                <w:szCs w:val="21"/>
              </w:rPr>
              <w:t>、江苏江南农村商业银行股份有限公司</w:t>
            </w:r>
            <w:r w:rsidR="00D71487" w:rsidRPr="009A1C14">
              <w:rPr>
                <w:rFonts w:ascii="黑体" w:eastAsia="黑体" w:hAnsi="黑体" w:cs="黑体" w:hint="eastAsia"/>
                <w:kern w:val="0"/>
                <w:szCs w:val="21"/>
              </w:rPr>
              <w:t>、兴业银行股份有限公司</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托管机构</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宁波银行股份有限公司</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投资合作机构</w:t>
            </w:r>
          </w:p>
        </w:tc>
        <w:tc>
          <w:tcPr>
            <w:tcW w:w="6458" w:type="dxa"/>
          </w:tcPr>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投资合作机构包括但不限于理财产品所投资资产管理产品的发行机构、根据合同约定从事理财产品受托投资的机构以及与理财产品投资管理相关的投资顾问等。</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本理财产品投资合作机构可能包括但不限于太平资产管理有限公司、民生通惠资产管理有限公司、平安证券股份有限公司</w:t>
            </w:r>
            <w:r w:rsidR="00916E93" w:rsidRPr="009A1C14">
              <w:rPr>
                <w:rFonts w:ascii="黑体" w:eastAsia="黑体" w:hAnsi="黑体" w:cs="黑体" w:hint="eastAsia"/>
                <w:kern w:val="0"/>
                <w:szCs w:val="21"/>
              </w:rPr>
              <w:t>、华润深国投信托有限公司、平安资产管理有限责任公司、阳光资产管理股份有限公司</w:t>
            </w:r>
            <w:r w:rsidRPr="009A1C14">
              <w:rPr>
                <w:rFonts w:ascii="黑体" w:eastAsia="黑体" w:hAnsi="黑体" w:cs="黑体" w:hint="eastAsia"/>
                <w:kern w:val="0"/>
                <w:szCs w:val="21"/>
              </w:rPr>
              <w:t>等。</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后续新增投资合作机构时，管理人将对合作机构的资质条件、专业服务能力和风险管理水平等进行充分评价，切实履行投资管理职责。</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费用</w:t>
            </w:r>
            <w:r w:rsidRPr="009A1C14">
              <w:rPr>
                <w:rFonts w:ascii="黑体" w:eastAsia="黑体" w:hAnsi="黑体" w:cs="黑体" w:hint="eastAsia"/>
                <w:kern w:val="0"/>
                <w:szCs w:val="21"/>
              </w:rPr>
              <w:t>及</w:t>
            </w:r>
            <w:r w:rsidRPr="009A1C14">
              <w:rPr>
                <w:rFonts w:ascii="黑体" w:eastAsia="黑体" w:hAnsi="黑体" w:cs="黑体"/>
                <w:kern w:val="0"/>
                <w:szCs w:val="21"/>
              </w:rPr>
              <w:t>税收</w:t>
            </w:r>
            <w:r w:rsidRPr="009A1C14">
              <w:rPr>
                <w:rFonts w:ascii="黑体" w:eastAsia="黑体" w:hAnsi="黑体" w:cs="黑体" w:hint="eastAsia"/>
                <w:kern w:val="0"/>
                <w:szCs w:val="21"/>
              </w:rPr>
              <w:t>规定</w:t>
            </w:r>
          </w:p>
        </w:tc>
        <w:tc>
          <w:tcPr>
            <w:tcW w:w="6458" w:type="dxa"/>
          </w:tcPr>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本产品</w:t>
            </w:r>
            <w:r w:rsidRPr="009A1C14">
              <w:rPr>
                <w:rFonts w:ascii="黑体" w:eastAsia="黑体" w:hAnsi="黑体" w:cs="黑体"/>
                <w:b/>
                <w:kern w:val="0"/>
                <w:szCs w:val="21"/>
              </w:rPr>
              <w:t>收取的费用</w:t>
            </w:r>
            <w:r w:rsidRPr="009A1C14">
              <w:rPr>
                <w:rFonts w:ascii="黑体" w:eastAsia="黑体" w:hAnsi="黑体" w:cs="黑体" w:hint="eastAsia"/>
                <w:b/>
                <w:kern w:val="0"/>
                <w:szCs w:val="21"/>
              </w:rPr>
              <w:t>包括固定管理费、</w:t>
            </w:r>
            <w:r w:rsidR="00A6781D" w:rsidRPr="009A1C14">
              <w:rPr>
                <w:rFonts w:ascii="黑体" w:eastAsia="黑体" w:hAnsi="黑体" w:cs="黑体" w:hint="eastAsia"/>
                <w:b/>
                <w:kern w:val="0"/>
                <w:szCs w:val="21"/>
              </w:rPr>
              <w:t>托管费、</w:t>
            </w:r>
            <w:r w:rsidRPr="009A1C14">
              <w:rPr>
                <w:rFonts w:ascii="黑体" w:eastAsia="黑体" w:hAnsi="黑体" w:cs="黑体" w:hint="eastAsia"/>
                <w:b/>
                <w:kern w:val="0"/>
                <w:szCs w:val="21"/>
              </w:rPr>
              <w:t>强制赎回费（若有）等</w:t>
            </w:r>
            <w:r w:rsidR="0033359C" w:rsidRPr="009A1C14">
              <w:rPr>
                <w:rFonts w:ascii="黑体" w:eastAsia="黑体" w:hAnsi="黑体" w:cs="黑体" w:hint="eastAsia"/>
                <w:b/>
                <w:kern w:val="0"/>
                <w:szCs w:val="21"/>
              </w:rPr>
              <w:t>，</w:t>
            </w:r>
            <w:r w:rsidRPr="009A1C14">
              <w:rPr>
                <w:rFonts w:ascii="黑体" w:eastAsia="黑体" w:hAnsi="黑体" w:cs="黑体" w:hint="eastAsia"/>
                <w:b/>
                <w:kern w:val="0"/>
                <w:szCs w:val="21"/>
              </w:rPr>
              <w:t>其中，A、</w:t>
            </w:r>
            <w:r w:rsidRPr="009A1C14">
              <w:rPr>
                <w:rFonts w:ascii="黑体" w:eastAsia="黑体" w:hAnsi="黑体" w:cs="黑体"/>
                <w:b/>
                <w:kern w:val="0"/>
                <w:szCs w:val="21"/>
              </w:rPr>
              <w:t>B</w:t>
            </w:r>
            <w:r w:rsidR="00DB7437" w:rsidRPr="009A1C14">
              <w:rPr>
                <w:rFonts w:ascii="黑体" w:eastAsia="黑体" w:hAnsi="黑体" w:cs="黑体" w:hint="eastAsia"/>
                <w:b/>
                <w:kern w:val="0"/>
                <w:szCs w:val="21"/>
              </w:rPr>
              <w:t>、C</w:t>
            </w:r>
            <w:r w:rsidR="0066632E" w:rsidRPr="009A1C14">
              <w:rPr>
                <w:rFonts w:ascii="黑体" w:eastAsia="黑体" w:hAnsi="黑体" w:cs="黑体" w:hint="eastAsia"/>
                <w:b/>
                <w:kern w:val="0"/>
                <w:szCs w:val="21"/>
              </w:rPr>
              <w:t>、D</w:t>
            </w:r>
            <w:r w:rsidRPr="009A1C14">
              <w:rPr>
                <w:rFonts w:ascii="黑体" w:eastAsia="黑体" w:hAnsi="黑体" w:cs="黑体" w:hint="eastAsia"/>
                <w:b/>
                <w:kern w:val="0"/>
                <w:szCs w:val="21"/>
              </w:rPr>
              <w:t>份额固定管理费率0.40%（年化）。</w:t>
            </w: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详见</w:t>
            </w:r>
            <w:r w:rsidRPr="009A1C14">
              <w:rPr>
                <w:rFonts w:ascii="黑体" w:eastAsia="黑体" w:hAnsi="黑体" w:cs="黑体"/>
                <w:b/>
                <w:kern w:val="0"/>
                <w:szCs w:val="21"/>
              </w:rPr>
              <w:t>本说明书第</w:t>
            </w:r>
            <w:r w:rsidRPr="009A1C14">
              <w:rPr>
                <w:rFonts w:ascii="黑体" w:eastAsia="黑体" w:hAnsi="黑体" w:cs="黑体" w:hint="eastAsia"/>
                <w:b/>
                <w:kern w:val="0"/>
                <w:szCs w:val="21"/>
              </w:rPr>
              <w:t>六</w:t>
            </w:r>
            <w:r w:rsidRPr="009A1C14">
              <w:rPr>
                <w:rFonts w:ascii="黑体" w:eastAsia="黑体" w:hAnsi="黑体" w:cs="黑体"/>
                <w:b/>
                <w:kern w:val="0"/>
                <w:szCs w:val="21"/>
              </w:rPr>
              <w:t>部分</w:t>
            </w:r>
            <w:r w:rsidRPr="009A1C14">
              <w:rPr>
                <w:rFonts w:ascii="黑体" w:eastAsia="黑体" w:hAnsi="黑体" w:cs="黑体" w:hint="eastAsia"/>
                <w:b/>
                <w:kern w:val="0"/>
                <w:szCs w:val="21"/>
              </w:rPr>
              <w:t>产品费用、收益及税收说明</w:t>
            </w:r>
            <w:r w:rsidRPr="009A1C14">
              <w:rPr>
                <w:rFonts w:ascii="黑体" w:eastAsia="黑体" w:hAnsi="黑体" w:cs="黑体"/>
                <w:b/>
                <w:kern w:val="0"/>
                <w:szCs w:val="21"/>
              </w:rPr>
              <w:t>。</w:t>
            </w:r>
          </w:p>
        </w:tc>
      </w:tr>
      <w:tr w:rsidR="00B16FFD" w:rsidRPr="009A1C14">
        <w:tc>
          <w:tcPr>
            <w:tcW w:w="1838" w:type="dxa"/>
            <w:vAlign w:val="center"/>
          </w:tcPr>
          <w:p w:rsidR="00B16FFD" w:rsidRPr="009A1C14" w:rsidRDefault="00007F89">
            <w:pPr>
              <w:autoSpaceDE w:val="0"/>
              <w:autoSpaceDN w:val="0"/>
              <w:adjustRightInd w:val="0"/>
              <w:rPr>
                <w:rFonts w:ascii="黑体" w:eastAsia="黑体" w:hAnsi="黑体" w:cs="黑体"/>
                <w:kern w:val="0"/>
                <w:szCs w:val="21"/>
              </w:rPr>
            </w:pPr>
            <w:r w:rsidRPr="009A1C14">
              <w:rPr>
                <w:rFonts w:ascii="黑体" w:eastAsia="黑体" w:hAnsi="黑体" w:cs="黑体" w:hint="eastAsia"/>
                <w:kern w:val="0"/>
                <w:szCs w:val="21"/>
              </w:rPr>
              <w:t>其他</w:t>
            </w:r>
          </w:p>
        </w:tc>
        <w:tc>
          <w:tcPr>
            <w:tcW w:w="6458" w:type="dxa"/>
          </w:tcPr>
          <w:p w:rsidR="00B16FFD" w:rsidRPr="009A1C14" w:rsidRDefault="00007F89">
            <w:pPr>
              <w:rPr>
                <w:rFonts w:ascii="黑体" w:eastAsia="黑体" w:hAnsi="黑体" w:cs="黑体"/>
                <w:b/>
                <w:bCs/>
                <w:kern w:val="0"/>
                <w:szCs w:val="21"/>
              </w:rPr>
            </w:pPr>
            <w:r w:rsidRPr="009A1C14">
              <w:rPr>
                <w:rFonts w:ascii="黑体" w:eastAsia="黑体" w:hAnsi="黑体" w:cs="黑体" w:hint="eastAsia"/>
                <w:b/>
                <w:bCs/>
                <w:kern w:val="0"/>
                <w:szCs w:val="21"/>
              </w:rPr>
              <w:t>1、在</w:t>
            </w:r>
            <w:r w:rsidRPr="009A1C14">
              <w:rPr>
                <w:rFonts w:ascii="黑体" w:eastAsia="黑体" w:hAnsi="黑体" w:cs="黑体"/>
                <w:b/>
                <w:bCs/>
                <w:kern w:val="0"/>
                <w:szCs w:val="21"/>
              </w:rPr>
              <w:t>本</w:t>
            </w:r>
            <w:r w:rsidRPr="009A1C14">
              <w:rPr>
                <w:rFonts w:ascii="黑体" w:eastAsia="黑体" w:hAnsi="黑体" w:cs="黑体" w:hint="eastAsia"/>
                <w:b/>
                <w:bCs/>
                <w:kern w:val="0"/>
                <w:szCs w:val="21"/>
              </w:rPr>
              <w:t>产品存续期内，产品</w:t>
            </w:r>
            <w:r w:rsidRPr="009A1C14">
              <w:rPr>
                <w:rFonts w:ascii="黑体" w:eastAsia="黑体" w:hAnsi="黑体" w:cs="黑体"/>
                <w:b/>
                <w:bCs/>
                <w:kern w:val="0"/>
                <w:szCs w:val="21"/>
              </w:rPr>
              <w:t>管理人</w:t>
            </w:r>
            <w:r w:rsidRPr="009A1C14">
              <w:rPr>
                <w:rFonts w:ascii="黑体" w:eastAsia="黑体" w:hAnsi="黑体" w:cs="黑体" w:hint="eastAsia"/>
                <w:b/>
                <w:bCs/>
                <w:kern w:val="0"/>
                <w:szCs w:val="21"/>
              </w:rPr>
              <w:t>有权根据市场情况调整本产品前述产品要素，调整前将进行相关信息披露。</w:t>
            </w:r>
          </w:p>
          <w:p w:rsidR="00B16FFD" w:rsidRPr="009A1C14" w:rsidRDefault="00007F89">
            <w:pPr>
              <w:rPr>
                <w:rFonts w:ascii="黑体" w:eastAsia="黑体" w:hAnsi="黑体" w:cs="黑体"/>
                <w:kern w:val="0"/>
                <w:szCs w:val="21"/>
              </w:rPr>
            </w:pPr>
            <w:r w:rsidRPr="009A1C14">
              <w:rPr>
                <w:rFonts w:ascii="黑体" w:eastAsia="黑体" w:hAnsi="黑体" w:cs="黑体"/>
                <w:kern w:val="0"/>
                <w:szCs w:val="21"/>
              </w:rPr>
              <w:t>2</w:t>
            </w:r>
            <w:r w:rsidRPr="009A1C14">
              <w:rPr>
                <w:rFonts w:ascii="黑体" w:eastAsia="黑体" w:hAnsi="黑体" w:cs="黑体" w:hint="eastAsia"/>
                <w:kern w:val="0"/>
                <w:szCs w:val="21"/>
              </w:rPr>
              <w:t>、产品成立日和到期日如遇非工作日，则顺延至下一工作日。</w:t>
            </w:r>
          </w:p>
          <w:p w:rsidR="00B16FFD" w:rsidRPr="009A1C14" w:rsidRDefault="00007F89">
            <w:pPr>
              <w:rPr>
                <w:rFonts w:ascii="黑体" w:eastAsia="黑体" w:hAnsi="黑体" w:cs="黑体"/>
                <w:kern w:val="0"/>
                <w:szCs w:val="21"/>
              </w:rPr>
            </w:pPr>
            <w:r w:rsidRPr="009A1C14">
              <w:rPr>
                <w:rFonts w:ascii="黑体" w:eastAsia="黑体" w:hAnsi="黑体" w:cs="黑体"/>
                <w:kern w:val="0"/>
                <w:szCs w:val="21"/>
              </w:rPr>
              <w:t>3</w:t>
            </w:r>
            <w:r w:rsidRPr="009A1C14">
              <w:rPr>
                <w:rFonts w:ascii="黑体" w:eastAsia="黑体" w:hAnsi="黑体" w:cs="黑体" w:hint="eastAsia"/>
                <w:kern w:val="0"/>
                <w:szCs w:val="21"/>
              </w:rPr>
              <w:t>、本产品说明书中的工作日指国家法定工作日。</w:t>
            </w:r>
          </w:p>
          <w:p w:rsidR="00B16FFD" w:rsidRPr="009A1C14" w:rsidRDefault="00007F89">
            <w:pPr>
              <w:rPr>
                <w:rFonts w:ascii="黑体" w:eastAsia="黑体" w:hAnsi="黑体" w:cs="黑体"/>
                <w:kern w:val="0"/>
                <w:szCs w:val="21"/>
              </w:rPr>
            </w:pPr>
            <w:r w:rsidRPr="009A1C14">
              <w:rPr>
                <w:rFonts w:ascii="黑体" w:eastAsia="黑体" w:hAnsi="黑体" w:cs="黑体" w:hint="eastAsia"/>
                <w:kern w:val="0"/>
                <w:szCs w:val="21"/>
              </w:rPr>
              <w:t>4、其他：无</w:t>
            </w:r>
          </w:p>
        </w:tc>
      </w:tr>
    </w:tbl>
    <w:p w:rsidR="00B16FFD" w:rsidRPr="009A1C14" w:rsidRDefault="00B16FFD">
      <w:pPr>
        <w:autoSpaceDE w:val="0"/>
        <w:autoSpaceDN w:val="0"/>
        <w:adjustRightInd w:val="0"/>
        <w:jc w:val="left"/>
        <w:rPr>
          <w:rFonts w:ascii="黑体" w:eastAsia="黑体" w:hAnsi="黑体" w:cs="黑体"/>
          <w:b/>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三、产品投资管理</w:t>
      </w:r>
    </w:p>
    <w:p w:rsidR="00B16FFD" w:rsidRPr="009A1C14" w:rsidRDefault="00007F89">
      <w:pPr>
        <w:autoSpaceDE w:val="0"/>
        <w:autoSpaceDN w:val="0"/>
        <w:adjustRightInd w:val="0"/>
        <w:jc w:val="left"/>
        <w:rPr>
          <w:rFonts w:ascii="黑体" w:eastAsia="黑体" w:hAnsi="黑体" w:cs="黑体"/>
          <w:bCs/>
          <w:kern w:val="0"/>
          <w:szCs w:val="21"/>
        </w:rPr>
      </w:pPr>
      <w:r w:rsidRPr="009A1C14">
        <w:rPr>
          <w:rFonts w:ascii="黑体" w:eastAsia="黑体" w:hAnsi="黑体" w:cs="黑体" w:hint="eastAsia"/>
          <w:bCs/>
          <w:kern w:val="0"/>
          <w:szCs w:val="21"/>
        </w:rPr>
        <w:t>（一</w:t>
      </w:r>
      <w:r w:rsidRPr="009A1C14">
        <w:rPr>
          <w:rFonts w:ascii="黑体" w:eastAsia="黑体" w:hAnsi="黑体" w:cs="黑体"/>
          <w:bCs/>
          <w:kern w:val="0"/>
          <w:szCs w:val="21"/>
        </w:rPr>
        <w:t>）</w:t>
      </w:r>
      <w:r w:rsidRPr="009A1C14">
        <w:rPr>
          <w:rFonts w:ascii="黑体" w:eastAsia="黑体" w:hAnsi="黑体" w:cs="黑体" w:hint="eastAsia"/>
          <w:bCs/>
          <w:kern w:val="0"/>
          <w:szCs w:val="21"/>
        </w:rPr>
        <w:t>投资范围</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本产品投资于以下金融工具：</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1、现金；</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2、期限在1年以内（含1年）的银行存款、债券回购、中央银行票据、同业存单；</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3、剩余期限在397天以内（含397天）的债券、在银行间市场和证券交易所市场发行的资产支持证券；</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w:t>
      </w:r>
      <w:r w:rsidR="00E03532" w:rsidRPr="009A1C14">
        <w:rPr>
          <w:rFonts w:ascii="黑体" w:eastAsia="黑体" w:hAnsi="黑体" w:cs="黑体" w:hint="eastAsia"/>
          <w:kern w:val="0"/>
          <w:szCs w:val="21"/>
        </w:rPr>
        <w:t>国家金融监督管理总局</w:t>
      </w:r>
      <w:r w:rsidRPr="009A1C14">
        <w:rPr>
          <w:rFonts w:ascii="黑体" w:eastAsia="黑体" w:hAnsi="黑体" w:cs="黑体" w:hint="eastAsia"/>
          <w:kern w:val="0"/>
          <w:szCs w:val="21"/>
        </w:rPr>
        <w:t>、中国人民银行认可的其他具有良好流动性的货币市场工具。</w:t>
      </w:r>
    </w:p>
    <w:p w:rsidR="00C569AB" w:rsidRPr="009A1C14" w:rsidRDefault="00C569AB">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本产品不投资于股票、可转换债券、可交换债券、以定期存款利率为基准利率的浮动利率债券（已进入最后一个利率调整期的除外）、信用等级在AA+以下的债券和资产支持证券以及</w:t>
      </w:r>
      <w:r w:rsidR="00E03532" w:rsidRPr="009A1C14">
        <w:rPr>
          <w:rFonts w:ascii="黑体" w:eastAsia="黑体" w:hAnsi="黑体" w:cs="黑体" w:hint="eastAsia"/>
          <w:kern w:val="0"/>
          <w:szCs w:val="21"/>
        </w:rPr>
        <w:t>国家金融监督管理总局</w:t>
      </w:r>
      <w:r w:rsidRPr="009A1C14">
        <w:rPr>
          <w:rFonts w:ascii="黑体" w:eastAsia="黑体" w:hAnsi="黑体" w:cs="黑体" w:hint="eastAsia"/>
          <w:kern w:val="0"/>
          <w:szCs w:val="21"/>
        </w:rPr>
        <w:t>、中国人民银行禁止投资的其他金融工具。</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本产品符合包括但不限于以下要求：</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1、本产品投资于同一机构发行的债券及其作为原始权益人的资产支持证券的比例合计</w:t>
      </w:r>
      <w:r w:rsidRPr="009A1C14">
        <w:rPr>
          <w:rFonts w:ascii="黑体" w:eastAsia="黑体" w:hAnsi="黑体" w:cs="黑体" w:hint="eastAsia"/>
          <w:kern w:val="0"/>
          <w:szCs w:val="21"/>
        </w:rPr>
        <w:lastRenderedPageBreak/>
        <w:t>不超过该产品资产净值的10%，投资于国债、中央银行票据、政策性金融债券的除外。</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本产品投资于所有主体信用评级低于AAA的机构发行的金融工具的比例合计不超过该产品资产净值的10%，其中单一机构发行的金融工具的比例合计不超过该产品资产净值的2%；本款所称金融工具包括债券、银行存款、同业存单、相关机构作为原始权益人的资产支持证券及国家金融监督管理总局认可的其他金融工具。</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本产品投资于有固定期限银行存款的比例合计不超过该产品资产净值的30%，投资于有存款期限，根据协议可提前支取的银行存款除外；本产品投资于主体信用评级为AAA的同一商业银行的银行存款、同业存单占该产品资产净值的比例合计不超过20%。</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4、本产品拟投资于主体信用评级低于AA+的商业银行的银行存款与同业存单的，将经本机构董事会审议批准，相关交易事先告知托管机构，并作为重大事项履行信息披露程序。</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非主观因素导致突破前述各项比例限制的，产品管理人将在10个交易日内调整至符合要求，国家金融监督管理总局规定的特殊情形除外。</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以及：</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1、本产品持有不低于该产品资产净值5%的现金、国债、中央银行票据、政策性金融债券；</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2、本产品持有不低于该产品资产净值10%的现金、国债、中央银行票据、政策性金融债券以及五个交易日内到期的其他金融工具；</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超过该产品资产净值的10%；</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4、本产品的杠杆水平不超过120%，发生巨额赎回、连续3个交易日累计赎回20%以上或者连续5个交易日累计赎回30%以上的情形除外。</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非主观因素导致突破前述第2、4项比例限制的，产品管理人将在10个交易日内调整至符合要求；非主观因素导致突破前述第3项比例限制的，产品管理人不再主动新增流动性受限资产的投资。</w:t>
      </w:r>
    </w:p>
    <w:p w:rsidR="00E03532" w:rsidRPr="009A1C14" w:rsidRDefault="00E03532" w:rsidP="00E03532">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本产品投资组合的平均剩余期限不超过120天，平均剩余存续期限不超过240天。</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本产品可接受的合格质押品包括但不限于央票、国债、政策性金融债、中国铁路建设债券、地方政府债券、同业存单、信用债、金融债等。</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具体投向如下：</w:t>
      </w:r>
    </w:p>
    <w:tbl>
      <w:tblPr>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2071"/>
      </w:tblGrid>
      <w:tr w:rsidR="00B16FFD" w:rsidRPr="009A1C14">
        <w:trPr>
          <w:jc w:val="center"/>
        </w:trPr>
        <w:tc>
          <w:tcPr>
            <w:tcW w:w="3550" w:type="pct"/>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投资资产</w:t>
            </w:r>
          </w:p>
        </w:tc>
        <w:tc>
          <w:tcPr>
            <w:tcW w:w="1450" w:type="pct"/>
          </w:tcPr>
          <w:p w:rsidR="00B16FFD" w:rsidRPr="009A1C14" w:rsidRDefault="00007F89">
            <w:pPr>
              <w:rPr>
                <w:rFonts w:ascii="黑体" w:eastAsia="黑体" w:hAnsi="黑体"/>
                <w:szCs w:val="21"/>
              </w:rPr>
            </w:pPr>
            <w:r w:rsidRPr="009A1C14">
              <w:rPr>
                <w:rFonts w:ascii="黑体" w:eastAsia="黑体" w:hAnsi="黑体" w:hint="eastAsia"/>
                <w:szCs w:val="21"/>
              </w:rPr>
              <w:t>计划配置比例</w:t>
            </w:r>
          </w:p>
        </w:tc>
      </w:tr>
      <w:tr w:rsidR="00B16FFD" w:rsidRPr="009A1C14">
        <w:trPr>
          <w:jc w:val="center"/>
        </w:trPr>
        <w:tc>
          <w:tcPr>
            <w:tcW w:w="3550" w:type="pct"/>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固定收益类资产</w:t>
            </w:r>
          </w:p>
        </w:tc>
        <w:tc>
          <w:tcPr>
            <w:tcW w:w="1450" w:type="pct"/>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100%</w:t>
            </w:r>
          </w:p>
        </w:tc>
      </w:tr>
      <w:tr w:rsidR="00B16FFD" w:rsidRPr="009A1C14">
        <w:trPr>
          <w:trHeight w:val="259"/>
          <w:jc w:val="center"/>
        </w:trPr>
        <w:tc>
          <w:tcPr>
            <w:tcW w:w="3550" w:type="pct"/>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权益类资产</w:t>
            </w:r>
          </w:p>
        </w:tc>
        <w:tc>
          <w:tcPr>
            <w:tcW w:w="1450" w:type="pct"/>
            <w:vAlign w:val="center"/>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0%</w:t>
            </w:r>
          </w:p>
        </w:tc>
      </w:tr>
      <w:tr w:rsidR="00B16FFD" w:rsidRPr="009A1C14">
        <w:trPr>
          <w:trHeight w:val="259"/>
          <w:jc w:val="center"/>
        </w:trPr>
        <w:tc>
          <w:tcPr>
            <w:tcW w:w="3550" w:type="pct"/>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商品及金融衍生品类资产</w:t>
            </w:r>
          </w:p>
        </w:tc>
        <w:tc>
          <w:tcPr>
            <w:tcW w:w="1450" w:type="pct"/>
            <w:vAlign w:val="center"/>
          </w:tcPr>
          <w:p w:rsidR="00B16FFD" w:rsidRPr="009A1C14" w:rsidRDefault="00007F89">
            <w:pPr>
              <w:ind w:firstLineChars="200" w:firstLine="420"/>
              <w:rPr>
                <w:rFonts w:ascii="黑体" w:eastAsia="黑体" w:hAnsi="黑体"/>
                <w:szCs w:val="21"/>
              </w:rPr>
            </w:pPr>
            <w:r w:rsidRPr="009A1C14">
              <w:rPr>
                <w:rFonts w:ascii="黑体" w:eastAsia="黑体" w:hAnsi="黑体" w:hint="eastAsia"/>
                <w:szCs w:val="21"/>
              </w:rPr>
              <w:t>0%</w:t>
            </w:r>
          </w:p>
        </w:tc>
      </w:tr>
    </w:tbl>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w:t>
      </w:r>
      <w:r w:rsidRPr="009A1C14">
        <w:rPr>
          <w:rFonts w:ascii="黑体" w:eastAsia="黑体" w:hAnsi="黑体" w:hint="eastAsia"/>
          <w:szCs w:val="21"/>
        </w:rPr>
        <w:t>本产品可以通过质押式和买断式债券正回购进行融资。</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2、本产品存续期间的投资比例将按上述计划配置比例合理浮动，非因主观因素导致突破上述比例限制的，产品管理人将在流动性受限资产可出售、可转让或者恢复交易之日的</w:t>
      </w:r>
      <w:r w:rsidRPr="009A1C14">
        <w:rPr>
          <w:rFonts w:ascii="黑体" w:eastAsia="黑体" w:hAnsi="黑体" w:cs="黑体"/>
          <w:kern w:val="0"/>
          <w:szCs w:val="21"/>
        </w:rPr>
        <w:t>15个</w:t>
      </w:r>
      <w:r w:rsidRPr="009A1C14">
        <w:rPr>
          <w:rFonts w:ascii="黑体" w:eastAsia="黑体" w:hAnsi="黑体" w:cs="黑体" w:hint="eastAsia"/>
          <w:kern w:val="0"/>
          <w:szCs w:val="21"/>
        </w:rPr>
        <w:t>交易日内</w:t>
      </w:r>
      <w:r w:rsidRPr="009A1C14">
        <w:rPr>
          <w:rFonts w:ascii="黑体" w:eastAsia="黑体" w:hAnsi="黑体" w:cs="黑体"/>
          <w:kern w:val="0"/>
          <w:szCs w:val="21"/>
        </w:rPr>
        <w:t>将投资比例调整至符合要求</w:t>
      </w:r>
      <w:r w:rsidR="000E611F" w:rsidRPr="009A1C14">
        <w:rPr>
          <w:rFonts w:ascii="黑体" w:eastAsia="黑体" w:hAnsi="黑体" w:cs="黑体" w:hint="eastAsia"/>
          <w:kern w:val="0"/>
          <w:szCs w:val="21"/>
        </w:rPr>
        <w:t>，国务院银行业监督管理机构规定的特殊情形除外</w:t>
      </w:r>
      <w:r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3、在本产品存续期内，前述投资比例暂时超出浮动区间且可能对产品收益产生重大影响的，产品管理人将根据理财产品销售文件约定向投资者进行信息披露。</w:t>
      </w:r>
    </w:p>
    <w:p w:rsidR="00B16FFD" w:rsidRPr="009A1C14" w:rsidRDefault="00007F89">
      <w:pPr>
        <w:autoSpaceDE w:val="0"/>
        <w:autoSpaceDN w:val="0"/>
        <w:adjustRightInd w:val="0"/>
        <w:ind w:firstLineChars="200" w:firstLine="422"/>
        <w:jc w:val="left"/>
        <w:rPr>
          <w:rFonts w:ascii="黑体" w:eastAsia="黑体" w:hAnsi="黑体" w:cs="黑体"/>
          <w:b/>
          <w:bCs/>
          <w:kern w:val="0"/>
          <w:szCs w:val="21"/>
        </w:rPr>
      </w:pPr>
      <w:r w:rsidRPr="009A1C14">
        <w:rPr>
          <w:rFonts w:ascii="黑体" w:eastAsia="黑体" w:hAnsi="黑体" w:cs="黑体" w:hint="eastAsia"/>
          <w:b/>
          <w:bCs/>
          <w:kern w:val="0"/>
          <w:szCs w:val="21"/>
        </w:rPr>
        <w:t>4、产品</w:t>
      </w:r>
      <w:r w:rsidRPr="009A1C14">
        <w:rPr>
          <w:rFonts w:ascii="黑体" w:eastAsia="黑体" w:hAnsi="黑体" w:cs="黑体"/>
          <w:b/>
          <w:bCs/>
          <w:kern w:val="0"/>
          <w:szCs w:val="21"/>
        </w:rPr>
        <w:t>管理人</w:t>
      </w:r>
      <w:r w:rsidRPr="009A1C14">
        <w:rPr>
          <w:rFonts w:ascii="黑体" w:eastAsia="黑体" w:hAnsi="黑体" w:cs="黑体" w:hint="eastAsia"/>
          <w:b/>
          <w:bCs/>
          <w:kern w:val="0"/>
          <w:szCs w:val="21"/>
        </w:rPr>
        <w:t>有权对投资范围、投资品种或投资比例进行调整，若发生调整情况，将提前至少3个工作日进行相关信息披露。上述情况下产品</w:t>
      </w:r>
      <w:r w:rsidRPr="009A1C14">
        <w:rPr>
          <w:rFonts w:ascii="黑体" w:eastAsia="黑体" w:hAnsi="黑体" w:cs="黑体"/>
          <w:b/>
          <w:bCs/>
          <w:kern w:val="0"/>
          <w:szCs w:val="21"/>
        </w:rPr>
        <w:t>管理人</w:t>
      </w:r>
      <w:r w:rsidRPr="009A1C14">
        <w:rPr>
          <w:rFonts w:ascii="黑体" w:eastAsia="黑体" w:hAnsi="黑体" w:cs="黑体" w:hint="eastAsia"/>
          <w:b/>
          <w:bCs/>
          <w:kern w:val="0"/>
          <w:szCs w:val="21"/>
        </w:rPr>
        <w:t>将可能开放赎回，具体</w:t>
      </w:r>
      <w:r w:rsidRPr="009A1C14">
        <w:rPr>
          <w:rFonts w:ascii="黑体" w:eastAsia="黑体" w:hAnsi="黑体" w:cs="黑体" w:hint="eastAsia"/>
          <w:b/>
          <w:bCs/>
          <w:kern w:val="0"/>
          <w:szCs w:val="21"/>
        </w:rPr>
        <w:lastRenderedPageBreak/>
        <w:t>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w:t>
      </w:r>
      <w:r w:rsidRPr="009A1C14">
        <w:rPr>
          <w:rFonts w:ascii="黑体" w:eastAsia="黑体" w:hAnsi="黑体" w:cs="黑体"/>
          <w:b/>
          <w:bCs/>
          <w:kern w:val="0"/>
          <w:szCs w:val="21"/>
        </w:rPr>
        <w:t>管理人</w:t>
      </w:r>
      <w:r w:rsidRPr="009A1C14">
        <w:rPr>
          <w:rFonts w:ascii="黑体" w:eastAsia="黑体" w:hAnsi="黑体" w:cs="黑体" w:hint="eastAsia"/>
          <w:b/>
          <w:bCs/>
          <w:kern w:val="0"/>
          <w:szCs w:val="21"/>
        </w:rPr>
        <w:t>将事先取得投资者书面同意。</w:t>
      </w:r>
    </w:p>
    <w:p w:rsidR="00B16FFD" w:rsidRPr="009A1C14" w:rsidRDefault="00007F89">
      <w:pPr>
        <w:autoSpaceDE w:val="0"/>
        <w:autoSpaceDN w:val="0"/>
        <w:adjustRightInd w:val="0"/>
        <w:jc w:val="left"/>
        <w:rPr>
          <w:rFonts w:ascii="黑体" w:eastAsia="黑体" w:hAnsi="黑体" w:cs="黑体"/>
          <w:bCs/>
          <w:kern w:val="0"/>
          <w:szCs w:val="21"/>
        </w:rPr>
      </w:pPr>
      <w:r w:rsidRPr="009A1C14">
        <w:rPr>
          <w:rFonts w:ascii="黑体" w:eastAsia="黑体" w:hAnsi="黑体" w:cs="黑体" w:hint="eastAsia"/>
          <w:bCs/>
          <w:kern w:val="0"/>
          <w:szCs w:val="21"/>
        </w:rPr>
        <w:t>（二</w:t>
      </w:r>
      <w:r w:rsidRPr="009A1C14">
        <w:rPr>
          <w:rFonts w:ascii="黑体" w:eastAsia="黑体" w:hAnsi="黑体" w:cs="黑体"/>
          <w:bCs/>
          <w:kern w:val="0"/>
          <w:szCs w:val="21"/>
        </w:rPr>
        <w:t>）</w:t>
      </w:r>
      <w:r w:rsidRPr="009A1C14">
        <w:rPr>
          <w:rFonts w:ascii="黑体" w:eastAsia="黑体" w:hAnsi="黑体" w:cs="黑体" w:hint="eastAsia"/>
          <w:bCs/>
          <w:kern w:val="0"/>
          <w:szCs w:val="21"/>
        </w:rPr>
        <w:t>拟</w:t>
      </w:r>
      <w:r w:rsidRPr="009A1C14">
        <w:rPr>
          <w:rFonts w:ascii="黑体" w:eastAsia="黑体" w:hAnsi="黑体" w:cs="黑体"/>
          <w:bCs/>
          <w:kern w:val="0"/>
          <w:szCs w:val="21"/>
        </w:rPr>
        <w:t>投资市场</w:t>
      </w:r>
      <w:r w:rsidRPr="009A1C14">
        <w:rPr>
          <w:rFonts w:ascii="黑体" w:eastAsia="黑体" w:hAnsi="黑体" w:cs="黑体" w:hint="eastAsia"/>
          <w:bCs/>
          <w:kern w:val="0"/>
          <w:szCs w:val="21"/>
        </w:rPr>
        <w:t>和</w:t>
      </w:r>
      <w:r w:rsidRPr="009A1C14">
        <w:rPr>
          <w:rFonts w:ascii="黑体" w:eastAsia="黑体" w:hAnsi="黑体" w:cs="黑体"/>
          <w:bCs/>
          <w:kern w:val="0"/>
          <w:szCs w:val="21"/>
        </w:rPr>
        <w:t>资产</w:t>
      </w:r>
      <w:r w:rsidRPr="009A1C14">
        <w:rPr>
          <w:rFonts w:ascii="黑体" w:eastAsia="黑体" w:hAnsi="黑体" w:cs="黑体" w:hint="eastAsia"/>
          <w:bCs/>
          <w:kern w:val="0"/>
          <w:szCs w:val="21"/>
        </w:rPr>
        <w:t>的</w:t>
      </w:r>
      <w:r w:rsidRPr="009A1C14">
        <w:rPr>
          <w:rFonts w:ascii="黑体" w:eastAsia="黑体" w:hAnsi="黑体" w:cs="黑体"/>
          <w:bCs/>
          <w:kern w:val="0"/>
          <w:szCs w:val="21"/>
        </w:rPr>
        <w:t>风险评估</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1、产品拟</w:t>
      </w:r>
      <w:r w:rsidRPr="009A1C14">
        <w:rPr>
          <w:rFonts w:ascii="黑体" w:eastAsia="黑体" w:hAnsi="黑体" w:cs="黑体"/>
          <w:kern w:val="0"/>
          <w:szCs w:val="21"/>
        </w:rPr>
        <w:t>投资</w:t>
      </w:r>
      <w:r w:rsidRPr="009A1C14">
        <w:rPr>
          <w:rFonts w:ascii="黑体" w:eastAsia="黑体" w:hAnsi="黑体" w:cs="黑体" w:hint="eastAsia"/>
          <w:kern w:val="0"/>
          <w:szCs w:val="21"/>
        </w:rPr>
        <w:t>资产</w:t>
      </w:r>
      <w:r w:rsidRPr="009A1C14">
        <w:rPr>
          <w:rFonts w:ascii="黑体" w:eastAsia="黑体" w:hAnsi="黑体" w:cs="黑体"/>
          <w:kern w:val="0"/>
          <w:szCs w:val="21"/>
        </w:rPr>
        <w:t>类型</w:t>
      </w:r>
      <w:r w:rsidRPr="009A1C14">
        <w:rPr>
          <w:rFonts w:ascii="黑体" w:eastAsia="黑体" w:hAnsi="黑体" w:cs="黑体" w:hint="eastAsia"/>
          <w:kern w:val="0"/>
          <w:szCs w:val="21"/>
        </w:rPr>
        <w:t>以</w:t>
      </w:r>
      <w:r w:rsidRPr="009A1C14">
        <w:rPr>
          <w:rFonts w:ascii="黑体" w:eastAsia="黑体" w:hAnsi="黑体" w:cs="黑体"/>
          <w:kern w:val="0"/>
          <w:szCs w:val="21"/>
        </w:rPr>
        <w:t>本说明</w:t>
      </w:r>
      <w:r w:rsidRPr="009A1C14">
        <w:rPr>
          <w:rFonts w:ascii="黑体" w:eastAsia="黑体" w:hAnsi="黑体" w:cs="黑体" w:hint="eastAsia"/>
          <w:kern w:val="0"/>
          <w:szCs w:val="21"/>
        </w:rPr>
        <w:t>书</w:t>
      </w:r>
      <w:r w:rsidRPr="009A1C14">
        <w:rPr>
          <w:rFonts w:ascii="黑体" w:eastAsia="黑体" w:hAnsi="黑体" w:cs="黑体"/>
          <w:kern w:val="0"/>
          <w:szCs w:val="21"/>
        </w:rPr>
        <w:t>第</w:t>
      </w:r>
      <w:r w:rsidRPr="009A1C14">
        <w:rPr>
          <w:rFonts w:ascii="黑体" w:eastAsia="黑体" w:hAnsi="黑体" w:cs="黑体" w:hint="eastAsia"/>
          <w:kern w:val="0"/>
          <w:szCs w:val="21"/>
        </w:rPr>
        <w:t>三（一）</w:t>
      </w:r>
      <w:r w:rsidRPr="009A1C14">
        <w:rPr>
          <w:rFonts w:ascii="黑体" w:eastAsia="黑体" w:hAnsi="黑体" w:cs="黑体"/>
          <w:kern w:val="0"/>
          <w:szCs w:val="21"/>
        </w:rPr>
        <w:t>条</w:t>
      </w:r>
      <w:r w:rsidRPr="009A1C14">
        <w:rPr>
          <w:rFonts w:ascii="黑体" w:eastAsia="黑体" w:hAnsi="黑体" w:cs="黑体" w:hint="eastAsia"/>
          <w:kern w:val="0"/>
          <w:szCs w:val="21"/>
        </w:rPr>
        <w:t>载明</w:t>
      </w:r>
      <w:r w:rsidRPr="009A1C14">
        <w:rPr>
          <w:rFonts w:ascii="黑体" w:eastAsia="黑体" w:hAnsi="黑体" w:cs="黑体"/>
          <w:kern w:val="0"/>
          <w:szCs w:val="21"/>
        </w:rPr>
        <w:t>为准。</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投资于上述</w:t>
      </w:r>
      <w:r w:rsidRPr="009A1C14">
        <w:rPr>
          <w:rFonts w:ascii="黑体" w:eastAsia="黑体" w:hAnsi="黑体" w:cs="黑体"/>
          <w:b/>
          <w:kern w:val="0"/>
          <w:szCs w:val="21"/>
        </w:rPr>
        <w:t>市场和资产</w:t>
      </w:r>
      <w:r w:rsidRPr="009A1C14">
        <w:rPr>
          <w:rFonts w:ascii="黑体" w:eastAsia="黑体" w:hAnsi="黑体" w:cs="黑体" w:hint="eastAsia"/>
          <w:b/>
          <w:kern w:val="0"/>
          <w:szCs w:val="21"/>
        </w:rPr>
        <w:t>，可能</w:t>
      </w:r>
      <w:r w:rsidRPr="009A1C14">
        <w:rPr>
          <w:rFonts w:ascii="黑体" w:eastAsia="黑体" w:hAnsi="黑体" w:cs="黑体"/>
          <w:b/>
          <w:kern w:val="0"/>
          <w:szCs w:val="21"/>
        </w:rPr>
        <w:t>面临</w:t>
      </w:r>
      <w:r w:rsidRPr="009A1C14">
        <w:rPr>
          <w:rFonts w:ascii="黑体" w:eastAsia="黑体" w:hAnsi="黑体" w:cs="黑体" w:hint="eastAsia"/>
          <w:b/>
          <w:kern w:val="0"/>
          <w:szCs w:val="21"/>
        </w:rPr>
        <w:t>包括但不限于</w:t>
      </w:r>
      <w:r w:rsidRPr="009A1C14">
        <w:rPr>
          <w:rFonts w:ascii="黑体" w:eastAsia="黑体" w:hAnsi="黑体" w:cs="黑体"/>
          <w:b/>
          <w:kern w:val="0"/>
          <w:szCs w:val="21"/>
        </w:rPr>
        <w:t>如下风险：</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政策风险</w:t>
      </w:r>
      <w:r w:rsidRPr="009A1C14">
        <w:rPr>
          <w:rFonts w:ascii="黑体" w:eastAsia="黑体" w:hAnsi="黑体" w:cs="黑体"/>
          <w:b/>
          <w:kern w:val="0"/>
          <w:szCs w:val="21"/>
        </w:rPr>
        <w:t>：</w:t>
      </w:r>
      <w:r w:rsidRPr="009A1C14">
        <w:rPr>
          <w:rFonts w:ascii="黑体" w:eastAsia="黑体" w:hAnsi="黑体" w:cs="黑体" w:hint="eastAsia"/>
          <w:b/>
          <w:kern w:val="0"/>
          <w:szCs w:val="21"/>
        </w:rPr>
        <w:t>理财产品在运作过程中，由于国家宏观政策以及市场相关法律法规、监管规定发生变化，导致产品的发行、投资、兑付等流程受到影响，进而影响产品的投资运作和收益的风险。</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信用</w:t>
      </w:r>
      <w:r w:rsidRPr="009A1C14">
        <w:rPr>
          <w:rFonts w:ascii="黑体" w:eastAsia="黑体" w:hAnsi="黑体" w:cs="黑体"/>
          <w:b/>
          <w:kern w:val="0"/>
          <w:szCs w:val="21"/>
        </w:rPr>
        <w:t>风险：</w:t>
      </w:r>
      <w:r w:rsidRPr="009A1C14">
        <w:rPr>
          <w:rFonts w:ascii="黑体" w:eastAsia="黑体" w:hAnsi="黑体" w:cs="黑体" w:hint="eastAsia"/>
          <w:b/>
          <w:kern w:val="0"/>
          <w:szCs w:val="21"/>
        </w:rPr>
        <w:t>理财产品所投资产的相关债务人或关联责任人（包括但不限于担保人）等信用状况恶化、不能如期履约的风险。</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流动性风险：</w:t>
      </w:r>
      <w:r w:rsidRPr="009A1C14">
        <w:rPr>
          <w:rFonts w:ascii="黑体" w:eastAsia="黑体" w:hAnsi="黑体" w:cs="宋体" w:hint="eastAsia"/>
          <w:b/>
          <w:kern w:val="0"/>
          <w:szCs w:val="21"/>
        </w:rPr>
        <w:t>在特定市场环境下，理财产品所投资的上述部分市场或资产可能出现流动性较差的情况，导致理财产品存在无法通过变现资产等途径以合理成本及时获得充足资金，用于满足投资者赎回需求、履行其他支付义务的风险。</w:t>
      </w:r>
      <w:r w:rsidRPr="009A1C14">
        <w:rPr>
          <w:rFonts w:ascii="黑体" w:eastAsia="黑体" w:hAnsi="黑体" w:cs="黑体" w:hint="eastAsia"/>
          <w:b/>
          <w:kern w:val="0"/>
          <w:szCs w:val="21"/>
        </w:rPr>
        <w:t>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B740F8" w:rsidRPr="009A1C14" w:rsidRDefault="00B740F8" w:rsidP="00B740F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提前终止风险：在本产品存续期内，如遇包括但不限于国家金融政策发生重大调整、金融市场发生重大波动、</w:t>
      </w:r>
      <w:r w:rsidRPr="009A1C14">
        <w:rPr>
          <w:rFonts w:ascii="黑体" w:eastAsia="黑体" w:hAnsi="黑体" w:cs="黑体"/>
          <w:b/>
          <w:kern w:val="0"/>
          <w:szCs w:val="21"/>
        </w:rPr>
        <w:t>不可抗力</w:t>
      </w:r>
      <w:r w:rsidRPr="009A1C14">
        <w:rPr>
          <w:rFonts w:ascii="黑体" w:eastAsia="黑体" w:hAnsi="黑体" w:cs="黑体" w:hint="eastAsia"/>
          <w:b/>
          <w:kern w:val="0"/>
          <w:szCs w:val="21"/>
        </w:rPr>
        <w:t>、产品存续规模低于产品最低成立规模或产品管理人认为影响产品运作需要提前终止产品的其他情况，产品管理人有权提前终止产品，并至少于提前终止日前3个工作日进行公告，相关兑付</w:t>
      </w:r>
      <w:r w:rsidRPr="009A1C14">
        <w:rPr>
          <w:rFonts w:ascii="黑体" w:eastAsia="黑体" w:hAnsi="黑体" w:cs="黑体"/>
          <w:b/>
          <w:kern w:val="0"/>
          <w:szCs w:val="21"/>
        </w:rPr>
        <w:t>安排规则</w:t>
      </w:r>
      <w:r w:rsidRPr="009A1C14">
        <w:rPr>
          <w:rFonts w:ascii="黑体" w:eastAsia="黑体" w:hAnsi="黑体" w:cs="黑体" w:hint="eastAsia"/>
          <w:b/>
          <w:kern w:val="0"/>
          <w:szCs w:val="21"/>
        </w:rPr>
        <w:t>将在</w:t>
      </w:r>
      <w:r w:rsidRPr="009A1C14">
        <w:rPr>
          <w:rFonts w:ascii="黑体" w:eastAsia="黑体" w:hAnsi="黑体" w:cs="黑体"/>
          <w:b/>
          <w:kern w:val="0"/>
          <w:szCs w:val="21"/>
        </w:rPr>
        <w:t>公告</w:t>
      </w:r>
      <w:r w:rsidRPr="009A1C14">
        <w:rPr>
          <w:rFonts w:ascii="黑体" w:eastAsia="黑体" w:hAnsi="黑体" w:cs="黑体" w:hint="eastAsia"/>
          <w:b/>
          <w:kern w:val="0"/>
          <w:szCs w:val="21"/>
        </w:rPr>
        <w:t>中</w:t>
      </w:r>
      <w:r w:rsidRPr="009A1C14">
        <w:rPr>
          <w:rFonts w:ascii="黑体" w:eastAsia="黑体" w:hAnsi="黑体" w:cs="黑体"/>
          <w:b/>
          <w:kern w:val="0"/>
          <w:szCs w:val="21"/>
        </w:rPr>
        <w:t>披露。</w:t>
      </w:r>
      <w:r w:rsidRPr="009A1C14">
        <w:rPr>
          <w:rFonts w:ascii="黑体" w:eastAsia="黑体" w:hAnsi="黑体" w:cs="黑体" w:hint="eastAsia"/>
          <w:b/>
          <w:kern w:val="0"/>
          <w:szCs w:val="21"/>
        </w:rPr>
        <w:t>（具体信息及相关规则见七、理财产品到期与终止。）</w:t>
      </w:r>
    </w:p>
    <w:p w:rsidR="00B16FFD" w:rsidRPr="009A1C14" w:rsidRDefault="00007F89">
      <w:pPr>
        <w:autoSpaceDE w:val="0"/>
        <w:autoSpaceDN w:val="0"/>
        <w:adjustRightInd w:val="0"/>
        <w:ind w:firstLineChars="200" w:firstLine="422"/>
        <w:jc w:val="left"/>
        <w:rPr>
          <w:rFonts w:ascii="黑体" w:eastAsia="黑体" w:hAnsi="黑体" w:cs="黑体"/>
          <w:kern w:val="0"/>
          <w:szCs w:val="21"/>
        </w:rPr>
      </w:pPr>
      <w:r w:rsidRPr="009A1C14">
        <w:rPr>
          <w:rFonts w:ascii="黑体" w:eastAsia="黑体" w:hAnsi="黑体" w:cs="黑体" w:hint="eastAsia"/>
          <w:b/>
          <w:kern w:val="0"/>
          <w:szCs w:val="21"/>
        </w:rPr>
        <w:t>以上风险仅为列举性质，详见产品风险揭示书。</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2、综合考虑本产品的投资组合、同类产品过往业绩和风险水平（包括但不限于拟投资市场和资产的风险评估等）等因素，本产品评级</w:t>
      </w:r>
      <w:r w:rsidRPr="009A1C14">
        <w:rPr>
          <w:rFonts w:ascii="黑体" w:eastAsia="黑体" w:hAnsi="黑体" w:cs="黑体"/>
          <w:kern w:val="0"/>
          <w:szCs w:val="21"/>
        </w:rPr>
        <w:t>为</w:t>
      </w:r>
      <w:r w:rsidRPr="009A1C14">
        <w:rPr>
          <w:rFonts w:ascii="黑体" w:eastAsia="黑体" w:hAnsi="黑体" w:cs="黑体" w:hint="eastAsia"/>
          <w:kern w:val="0"/>
          <w:szCs w:val="21"/>
        </w:rPr>
        <w:t>PR1风险（本评级为公司内部评级，仅供参考，该产品通过代理销售机构渠道销售的，理财产品评级应当以代理销售机构最终披露的评级结果为准）。</w:t>
      </w:r>
    </w:p>
    <w:p w:rsidR="00B16FFD" w:rsidRPr="009A1C14" w:rsidRDefault="00B16FFD">
      <w:pPr>
        <w:autoSpaceDE w:val="0"/>
        <w:autoSpaceDN w:val="0"/>
        <w:adjustRightInd w:val="0"/>
        <w:ind w:firstLineChars="200" w:firstLine="420"/>
        <w:jc w:val="left"/>
        <w:rPr>
          <w:rFonts w:ascii="黑体" w:eastAsia="黑体" w:hAnsi="黑体" w:cs="黑体"/>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四、产品交易相关规则</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（一）认购和</w:t>
      </w:r>
      <w:r w:rsidRPr="009A1C14">
        <w:rPr>
          <w:rFonts w:ascii="黑体" w:eastAsia="黑体" w:hAnsi="黑体" w:cs="宋体"/>
          <w:kern w:val="0"/>
          <w:szCs w:val="21"/>
        </w:rPr>
        <w:t>申购</w:t>
      </w:r>
      <w:r w:rsidRPr="009A1C14">
        <w:rPr>
          <w:rFonts w:ascii="黑体" w:eastAsia="黑体" w:hAnsi="黑体" w:cs="宋体" w:hint="eastAsia"/>
          <w:kern w:val="0"/>
          <w:szCs w:val="21"/>
        </w:rPr>
        <w:t>相关规则</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1、产品募集期内，投资者可以</w:t>
      </w:r>
      <w:r w:rsidRPr="009A1C14">
        <w:rPr>
          <w:rFonts w:ascii="黑体" w:eastAsia="黑体" w:hAnsi="黑体" w:cs="黑体"/>
          <w:kern w:val="0"/>
          <w:szCs w:val="21"/>
        </w:rPr>
        <w:t>对本产品进行认购、追加</w:t>
      </w:r>
      <w:r w:rsidRPr="009A1C14">
        <w:rPr>
          <w:rFonts w:ascii="黑体" w:eastAsia="黑体" w:hAnsi="黑体" w:cs="黑体" w:hint="eastAsia"/>
          <w:kern w:val="0"/>
          <w:szCs w:val="21"/>
        </w:rPr>
        <w:t>、</w:t>
      </w:r>
      <w:r w:rsidRPr="009A1C14">
        <w:rPr>
          <w:rFonts w:ascii="黑体" w:eastAsia="黑体" w:hAnsi="黑体" w:cs="黑体"/>
          <w:kern w:val="0"/>
          <w:szCs w:val="21"/>
        </w:rPr>
        <w:t>撤单</w:t>
      </w:r>
      <w:r w:rsidRPr="009A1C14">
        <w:rPr>
          <w:rFonts w:ascii="黑体" w:eastAsia="黑体" w:hAnsi="黑体" w:cs="黑体" w:hint="eastAsia"/>
          <w:kern w:val="0"/>
          <w:szCs w:val="21"/>
        </w:rPr>
        <w:t>，销售机构有权在投资者指定账户中对相应资金进行冻结或通过相关支付渠道(如有)划转，具体以销售机构实际处理为准，产品</w:t>
      </w:r>
      <w:r w:rsidRPr="009A1C14">
        <w:rPr>
          <w:rFonts w:ascii="黑体" w:eastAsia="黑体" w:hAnsi="黑体" w:cs="黑体"/>
          <w:kern w:val="0"/>
          <w:szCs w:val="21"/>
        </w:rPr>
        <w:t>管理人将在</w:t>
      </w:r>
      <w:r w:rsidRPr="009A1C14">
        <w:rPr>
          <w:rFonts w:ascii="黑体" w:eastAsia="黑体" w:hAnsi="黑体" w:cs="黑体" w:hint="eastAsia"/>
          <w:kern w:val="0"/>
          <w:szCs w:val="21"/>
        </w:rPr>
        <w:t>产品成立日</w:t>
      </w:r>
      <w:r w:rsidRPr="009A1C14">
        <w:rPr>
          <w:rFonts w:ascii="黑体" w:eastAsia="黑体" w:hAnsi="黑体" w:cs="黑体"/>
          <w:kern w:val="0"/>
          <w:szCs w:val="21"/>
        </w:rPr>
        <w:t>对</w:t>
      </w:r>
      <w:r w:rsidRPr="009A1C14">
        <w:rPr>
          <w:rFonts w:ascii="黑体" w:eastAsia="黑体" w:hAnsi="黑体" w:cs="黑体" w:hint="eastAsia"/>
          <w:kern w:val="0"/>
          <w:szCs w:val="21"/>
        </w:rPr>
        <w:t>募集期</w:t>
      </w:r>
      <w:r w:rsidRPr="009A1C14">
        <w:rPr>
          <w:rFonts w:ascii="黑体" w:eastAsia="黑体" w:hAnsi="黑体" w:cs="黑体"/>
          <w:kern w:val="0"/>
          <w:szCs w:val="21"/>
        </w:rPr>
        <w:t>的认购</w:t>
      </w:r>
      <w:r w:rsidRPr="009A1C14">
        <w:rPr>
          <w:rFonts w:ascii="黑体" w:eastAsia="黑体" w:hAnsi="黑体" w:cs="黑体" w:hint="eastAsia"/>
          <w:kern w:val="0"/>
          <w:szCs w:val="21"/>
        </w:rPr>
        <w:t>及</w:t>
      </w:r>
      <w:r w:rsidRPr="009A1C14">
        <w:rPr>
          <w:rFonts w:ascii="黑体" w:eastAsia="黑体" w:hAnsi="黑体" w:cs="黑体"/>
          <w:kern w:val="0"/>
          <w:szCs w:val="21"/>
        </w:rPr>
        <w:t>追加</w:t>
      </w:r>
      <w:r w:rsidRPr="009A1C14">
        <w:rPr>
          <w:rFonts w:ascii="黑体" w:eastAsia="黑体" w:hAnsi="黑体" w:cs="黑体" w:hint="eastAsia"/>
          <w:kern w:val="0"/>
          <w:szCs w:val="21"/>
        </w:rPr>
        <w:t>申请进行</w:t>
      </w:r>
      <w:bookmarkStart w:id="0" w:name="_Hlk33019208"/>
      <w:r w:rsidRPr="009A1C14">
        <w:rPr>
          <w:rFonts w:ascii="黑体" w:eastAsia="黑体" w:hAnsi="黑体" w:cs="黑体" w:hint="eastAsia"/>
          <w:kern w:val="0"/>
          <w:szCs w:val="21"/>
        </w:rPr>
        <w:t>确认和划款</w:t>
      </w:r>
      <w:bookmarkEnd w:id="0"/>
      <w:r w:rsidRPr="009A1C14">
        <w:rPr>
          <w:rFonts w:ascii="黑体" w:eastAsia="黑体" w:hAnsi="黑体" w:cs="黑体" w:hint="eastAsia"/>
          <w:kern w:val="0"/>
          <w:szCs w:val="21"/>
        </w:rPr>
        <w:t>。募集期内管理人不向投资者认购款项计付利息，销售机构是否计付利息以销售机构为准。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产品募集期单位净值为1元，募集期认购价格采用募集期单位净值</w:t>
      </w:r>
      <w:r w:rsidRPr="009A1C14">
        <w:rPr>
          <w:rFonts w:ascii="黑体" w:eastAsia="黑体" w:hAnsi="黑体" w:cs="黑体"/>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产品存续期间，投资者可以对本产品进行申购、追加、撤单，销售机构有权在投资者指定账户中对相应资金进行冻结或通过相关支付渠道(如有)划转，具体以销售机构实际处理为准，产品管理人将在申购确认日对上述申购及追加申请进行确认和划款。</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产品存续期单位净值为1元，存续期申购、追加的价格采用存续期单位净值。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3</w:t>
      </w:r>
      <w:r w:rsidRPr="009A1C14">
        <w:rPr>
          <w:rFonts w:ascii="黑体" w:eastAsia="黑体" w:hAnsi="黑体" w:cs="黑体" w:hint="eastAsia"/>
          <w:kern w:val="0"/>
          <w:szCs w:val="21"/>
        </w:rPr>
        <w:t>、产品采用金额认（申）购规则</w:t>
      </w:r>
      <w:r w:rsidRPr="009A1C14">
        <w:rPr>
          <w:rFonts w:ascii="黑体" w:eastAsia="黑体" w:hAnsi="黑体" w:cs="黑体"/>
          <w:kern w:val="0"/>
          <w:szCs w:val="21"/>
        </w:rPr>
        <w:t>，</w:t>
      </w:r>
      <w:r w:rsidRPr="009A1C14">
        <w:rPr>
          <w:rFonts w:ascii="黑体" w:eastAsia="黑体" w:hAnsi="黑体" w:cs="黑体" w:hint="eastAsia"/>
          <w:kern w:val="0"/>
          <w:szCs w:val="21"/>
        </w:rPr>
        <w:t>即认（申）购以金额确定投资者</w:t>
      </w:r>
      <w:r w:rsidRPr="009A1C14">
        <w:rPr>
          <w:rFonts w:ascii="黑体" w:eastAsia="黑体" w:hAnsi="黑体" w:cs="黑体"/>
          <w:kern w:val="0"/>
          <w:szCs w:val="21"/>
        </w:rPr>
        <w:t>对应的</w:t>
      </w:r>
      <w:r w:rsidRPr="009A1C14">
        <w:rPr>
          <w:rFonts w:ascii="黑体" w:eastAsia="黑体" w:hAnsi="黑体" w:cs="黑体" w:hint="eastAsia"/>
          <w:kern w:val="0"/>
          <w:szCs w:val="21"/>
        </w:rPr>
        <w:t>产品份额</w:t>
      </w:r>
      <w:r w:rsidRPr="009A1C14">
        <w:rPr>
          <w:rFonts w:ascii="黑体" w:eastAsia="黑体" w:hAnsi="黑体" w:cs="黑体"/>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lastRenderedPageBreak/>
        <w:t>4</w:t>
      </w:r>
      <w:r w:rsidRPr="009A1C14">
        <w:rPr>
          <w:rFonts w:ascii="黑体" w:eastAsia="黑体" w:hAnsi="黑体" w:cs="黑体" w:hint="eastAsia"/>
          <w:kern w:val="0"/>
          <w:szCs w:val="21"/>
        </w:rPr>
        <w:t>、产品募集期</w:t>
      </w:r>
      <w:r w:rsidRPr="009A1C14">
        <w:rPr>
          <w:rFonts w:ascii="黑体" w:eastAsia="黑体" w:hAnsi="黑体" w:cs="黑体"/>
          <w:kern w:val="0"/>
          <w:szCs w:val="21"/>
        </w:rPr>
        <w:t>及</w:t>
      </w:r>
      <w:r w:rsidRPr="009A1C14">
        <w:rPr>
          <w:rFonts w:ascii="黑体" w:eastAsia="黑体" w:hAnsi="黑体" w:cs="黑体" w:hint="eastAsia"/>
          <w:kern w:val="0"/>
          <w:szCs w:val="21"/>
        </w:rPr>
        <w:t>存续期内，若出现以下情况，产品</w:t>
      </w:r>
      <w:r w:rsidRPr="009A1C14">
        <w:rPr>
          <w:rFonts w:ascii="黑体" w:eastAsia="黑体" w:hAnsi="黑体" w:cs="黑体"/>
          <w:kern w:val="0"/>
          <w:szCs w:val="21"/>
        </w:rPr>
        <w:t>管理人</w:t>
      </w:r>
      <w:r w:rsidRPr="009A1C14">
        <w:rPr>
          <w:rFonts w:ascii="黑体" w:eastAsia="黑体" w:hAnsi="黑体" w:cs="黑体" w:hint="eastAsia"/>
          <w:kern w:val="0"/>
          <w:szCs w:val="21"/>
        </w:rPr>
        <w:t>有权拒绝或暂停接受投资者的认（申）购或追加认（申）购申请：</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（1）因不可抗力导致产品管理机构无法接受投资者认（申）购或追加认（申）购申请；</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w:t>
      </w:r>
      <w:r w:rsidRPr="009A1C14">
        <w:rPr>
          <w:rFonts w:ascii="黑体" w:eastAsia="黑体" w:hAnsi="黑体" w:cs="黑体"/>
          <w:kern w:val="0"/>
          <w:szCs w:val="21"/>
        </w:rPr>
        <w:t>2</w:t>
      </w:r>
      <w:r w:rsidRPr="009A1C14">
        <w:rPr>
          <w:rFonts w:ascii="黑体" w:eastAsia="黑体" w:hAnsi="黑体" w:cs="黑体" w:hint="eastAsia"/>
          <w:kern w:val="0"/>
          <w:szCs w:val="21"/>
        </w:rPr>
        <w:t>）因金融市场发生重大波动等原因，继续接受认（申）购申请可能对产品存量投资者利益构成重大不利影响；</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（3）法律、法规或相关监管认定的其他情形，以及本说明书约定的其他情形。</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5、其他</w:t>
      </w:r>
      <w:r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申购交易规则如下：</w:t>
      </w:r>
    </w:p>
    <w:tbl>
      <w:tblPr>
        <w:tblStyle w:val="2"/>
        <w:tblW w:w="0" w:type="auto"/>
        <w:tblLook w:val="04A0" w:firstRow="1" w:lastRow="0" w:firstColumn="1" w:lastColumn="0" w:noHBand="0" w:noVBand="1"/>
      </w:tblPr>
      <w:tblGrid>
        <w:gridCol w:w="2765"/>
        <w:gridCol w:w="2765"/>
        <w:gridCol w:w="2766"/>
      </w:tblGrid>
      <w:tr w:rsidR="00B16FFD" w:rsidRPr="009A1C14">
        <w:tc>
          <w:tcPr>
            <w:tcW w:w="2765"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申购发起时间</w:t>
            </w:r>
          </w:p>
        </w:tc>
        <w:tc>
          <w:tcPr>
            <w:tcW w:w="2765"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申购受理日</w:t>
            </w:r>
          </w:p>
        </w:tc>
        <w:tc>
          <w:tcPr>
            <w:tcW w:w="2766"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申购确认日</w:t>
            </w:r>
          </w:p>
        </w:tc>
      </w:tr>
      <w:tr w:rsidR="00B16FFD" w:rsidRPr="009A1C14">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每个工作日</w:t>
            </w:r>
            <w:r w:rsidRPr="009A1C14">
              <w:rPr>
                <w:rFonts w:ascii="黑体" w:eastAsia="黑体" w:hAnsi="黑体" w:cs="黑体"/>
                <w:color w:val="000000" w:themeColor="text1"/>
                <w:kern w:val="0"/>
                <w:szCs w:val="21"/>
              </w:rPr>
              <w:t>0:00-17:00</w:t>
            </w:r>
            <w:r w:rsidRPr="009A1C14">
              <w:rPr>
                <w:rFonts w:ascii="黑体" w:eastAsia="黑体" w:hAnsi="黑体" w:cs="黑体" w:hint="eastAsia"/>
                <w:color w:val="000000" w:themeColor="text1"/>
                <w:kern w:val="0"/>
                <w:szCs w:val="21"/>
              </w:rPr>
              <w:t>（不含）</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发起当日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r w:rsidR="00B16FFD" w:rsidRPr="009A1C14">
        <w:tc>
          <w:tcPr>
            <w:tcW w:w="2765" w:type="dxa"/>
          </w:tcPr>
          <w:p w:rsidR="00B16FFD" w:rsidRPr="009A1C14" w:rsidRDefault="00007F89" w:rsidP="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每个工作日</w:t>
            </w:r>
            <w:r w:rsidRPr="009A1C14">
              <w:rPr>
                <w:rFonts w:ascii="黑体" w:eastAsia="黑体" w:hAnsi="黑体" w:cs="黑体"/>
                <w:color w:val="000000" w:themeColor="text1"/>
                <w:kern w:val="0"/>
                <w:szCs w:val="21"/>
              </w:rPr>
              <w:t>17:00-24:00</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发起日下一工作日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r w:rsidR="00B16FFD" w:rsidRPr="009A1C14">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非工作日</w:t>
            </w:r>
            <w:r w:rsidRPr="009A1C14">
              <w:rPr>
                <w:rFonts w:ascii="黑体" w:eastAsia="黑体" w:hAnsi="黑体" w:cs="黑体"/>
                <w:color w:val="000000" w:themeColor="text1"/>
                <w:kern w:val="0"/>
                <w:szCs w:val="21"/>
              </w:rPr>
              <w:t>0:00-24:00</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发起日下一工作日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bl>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宋体" w:hint="eastAsia"/>
          <w:color w:val="000000" w:themeColor="text1"/>
          <w:kern w:val="0"/>
          <w:szCs w:val="21"/>
        </w:rPr>
        <w:t>具体申购确认时间以销售机构显示为准。</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（二）赎回相关规则</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1</w:t>
      </w:r>
      <w:r w:rsidRPr="009A1C14">
        <w:rPr>
          <w:rFonts w:ascii="黑体" w:eastAsia="黑体" w:hAnsi="黑体" w:cs="黑体" w:hint="eastAsia"/>
          <w:kern w:val="0"/>
          <w:szCs w:val="21"/>
        </w:rPr>
        <w:t>、产品存续期间，投资者可以对本产品进行赎回，</w:t>
      </w:r>
      <w:r w:rsidRPr="009A1C14">
        <w:rPr>
          <w:rFonts w:ascii="黑体" w:eastAsia="黑体" w:hAnsi="黑体" w:cs="黑体" w:hint="eastAsia"/>
          <w:b/>
          <w:kern w:val="0"/>
          <w:szCs w:val="21"/>
        </w:rPr>
        <w:t>产品管理人将在赎回确认日对上述赎回申请进行确认</w:t>
      </w:r>
      <w:r w:rsidRPr="009A1C14">
        <w:rPr>
          <w:rFonts w:ascii="黑体" w:eastAsia="黑体" w:hAnsi="黑体" w:cs="黑体" w:hint="eastAsia"/>
          <w:kern w:val="0"/>
          <w:szCs w:val="21"/>
        </w:rPr>
        <w:t>，投资者实际赎回份额以产品管理人确认的份额为准，</w:t>
      </w:r>
      <w:r w:rsidRPr="009A1C14">
        <w:rPr>
          <w:rFonts w:ascii="黑体" w:eastAsia="黑体" w:hAnsi="黑体" w:cs="黑体" w:hint="eastAsia"/>
          <w:b/>
          <w:kern w:val="0"/>
          <w:szCs w:val="21"/>
        </w:rPr>
        <w:t>投资者的赎回金额将在赎回确认日到账</w:t>
      </w:r>
      <w:r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产品存续期单位净值为1元，存续期赎回价格采用存续期单位净值。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2、产品赎回遵循“先进先出”原则，即按照投资者持有该理财份额的先后次序进行顺序赎回，具体以销售机构实际展示或处理为准。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3</w:t>
      </w:r>
      <w:r w:rsidRPr="009A1C14">
        <w:rPr>
          <w:rFonts w:ascii="黑体" w:eastAsia="黑体" w:hAnsi="黑体" w:cs="黑体" w:hint="eastAsia"/>
          <w:kern w:val="0"/>
          <w:szCs w:val="21"/>
        </w:rPr>
        <w:t>、产品采用份额赎回规则</w:t>
      </w:r>
      <w:r w:rsidRPr="009A1C14">
        <w:rPr>
          <w:rFonts w:ascii="黑体" w:eastAsia="黑体" w:hAnsi="黑体" w:cs="黑体"/>
          <w:kern w:val="0"/>
          <w:szCs w:val="21"/>
        </w:rPr>
        <w:t>，</w:t>
      </w:r>
      <w:r w:rsidRPr="009A1C14">
        <w:rPr>
          <w:rFonts w:ascii="黑体" w:eastAsia="黑体" w:hAnsi="黑体" w:cs="黑体" w:hint="eastAsia"/>
          <w:kern w:val="0"/>
          <w:szCs w:val="21"/>
        </w:rPr>
        <w:t>即赎回以份额确定投资者</w:t>
      </w:r>
      <w:r w:rsidRPr="009A1C14">
        <w:rPr>
          <w:rFonts w:ascii="黑体" w:eastAsia="黑体" w:hAnsi="黑体" w:cs="黑体"/>
          <w:kern w:val="0"/>
          <w:szCs w:val="21"/>
        </w:rPr>
        <w:t>对应的</w:t>
      </w:r>
      <w:r w:rsidRPr="009A1C14">
        <w:rPr>
          <w:rFonts w:ascii="黑体" w:eastAsia="黑体" w:hAnsi="黑体" w:cs="黑体" w:hint="eastAsia"/>
          <w:kern w:val="0"/>
          <w:szCs w:val="21"/>
        </w:rPr>
        <w:t>产品金额</w:t>
      </w:r>
      <w:r w:rsidRPr="009A1C14">
        <w:rPr>
          <w:rFonts w:ascii="黑体" w:eastAsia="黑体" w:hAnsi="黑体" w:cs="黑体"/>
          <w:kern w:val="0"/>
          <w:szCs w:val="21"/>
        </w:rPr>
        <w:t>。</w:t>
      </w:r>
    </w:p>
    <w:p w:rsidR="00C81784" w:rsidRPr="009A1C14" w:rsidRDefault="00007F89" w:rsidP="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w:t>
      </w:r>
      <w:r w:rsidR="00C81784" w:rsidRPr="009A1C14">
        <w:rPr>
          <w:rFonts w:ascii="黑体" w:eastAsia="黑体" w:hAnsi="黑体" w:cs="黑体" w:hint="eastAsia"/>
          <w:kern w:val="0"/>
          <w:szCs w:val="21"/>
        </w:rPr>
        <w:t>、</w:t>
      </w:r>
      <w:r w:rsidR="00C81784" w:rsidRPr="009A1C14">
        <w:rPr>
          <w:rFonts w:ascii="黑体" w:eastAsia="黑体" w:hAnsi="黑体" w:cs="黑体" w:hint="eastAsia"/>
          <w:b/>
          <w:kern w:val="0"/>
          <w:szCs w:val="21"/>
        </w:rPr>
        <w:t>快速赎回增值服务：</w:t>
      </w:r>
    </w:p>
    <w:p w:rsidR="00C81784" w:rsidRPr="009A1C14" w:rsidRDefault="00C81784" w:rsidP="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（1）快速赎回增值服务是销售机构为投资者提供的产品份额赎回款项快速到账的增值服务，</w:t>
      </w:r>
      <w:r w:rsidRPr="009A1C14">
        <w:rPr>
          <w:rFonts w:ascii="黑体" w:eastAsia="黑体" w:hAnsi="黑体" w:cs="黑体" w:hint="eastAsia"/>
          <w:b/>
          <w:kern w:val="0"/>
          <w:szCs w:val="21"/>
        </w:rPr>
        <w:t>非产品管理人或销售机构的法定义务，是否开通以销售机构设置为准，销售机构有权暂停或终止该服务。快速赎回增值服务的交易规则（包括但不限于交易时间、快速赎回限额、手续费等）以销售机构与投资者之间的约定为准</w:t>
      </w:r>
      <w:r w:rsidRPr="009A1C14">
        <w:rPr>
          <w:rFonts w:ascii="黑体" w:eastAsia="黑体" w:hAnsi="黑体" w:cs="黑体" w:hint="eastAsia"/>
          <w:kern w:val="0"/>
          <w:szCs w:val="21"/>
        </w:rPr>
        <w:t>。</w:t>
      </w:r>
    </w:p>
    <w:p w:rsidR="00C81784" w:rsidRPr="009A1C14" w:rsidRDefault="00C81784" w:rsidP="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（2）产品存续期间，投资者可以通过销售机构进行快速赎回，快速赎回限额内的赎回申请通过后，销售机构可为投资者提供快速赎回增值服务。快速赎回限额：以</w:t>
      </w:r>
      <w:r w:rsidRPr="009A1C14">
        <w:rPr>
          <w:rFonts w:ascii="黑体" w:eastAsia="黑体" w:hAnsi="黑体" w:cs="黑体"/>
          <w:kern w:val="0"/>
          <w:szCs w:val="21"/>
        </w:rPr>
        <w:t>销售机构与</w:t>
      </w:r>
      <w:r w:rsidRPr="009A1C14">
        <w:rPr>
          <w:rFonts w:ascii="黑体" w:eastAsia="黑体" w:hAnsi="黑体" w:cs="黑体" w:hint="eastAsia"/>
          <w:kern w:val="0"/>
          <w:szCs w:val="21"/>
        </w:rPr>
        <w:t>投资者</w:t>
      </w:r>
      <w:r w:rsidRPr="009A1C14">
        <w:rPr>
          <w:rFonts w:ascii="黑体" w:eastAsia="黑体" w:hAnsi="黑体" w:cs="黑体"/>
          <w:kern w:val="0"/>
          <w:szCs w:val="21"/>
        </w:rPr>
        <w:t>之间的约定为准，但</w:t>
      </w:r>
      <w:r w:rsidRPr="009A1C14">
        <w:rPr>
          <w:rFonts w:ascii="黑体" w:eastAsia="黑体" w:hAnsi="黑体" w:cs="黑体" w:hint="eastAsia"/>
          <w:kern w:val="0"/>
          <w:szCs w:val="21"/>
        </w:rPr>
        <w:t>单个投资者在单个销售渠道持有的单只产品单个自然日的赎回金额最高不得高于1万元。</w:t>
      </w:r>
    </w:p>
    <w:p w:rsidR="00C81784" w:rsidRPr="009A1C14" w:rsidRDefault="00C81784" w:rsidP="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w:t>
      </w:r>
      <w:r w:rsidRPr="009A1C14">
        <w:rPr>
          <w:rFonts w:ascii="黑体" w:eastAsia="黑体" w:hAnsi="黑体" w:cs="黑体" w:hint="eastAsia"/>
          <w:b/>
          <w:kern w:val="0"/>
          <w:szCs w:val="21"/>
        </w:rPr>
        <w:t>投资者快速赎回成功后，将不再享受自申请成功之日（含）起快速赎回理财产品份额对应的收益，敬请投资者注意</w:t>
      </w:r>
      <w:r w:rsidRPr="009A1C14">
        <w:rPr>
          <w:rFonts w:ascii="黑体" w:eastAsia="黑体" w:hAnsi="黑体" w:cs="黑体" w:hint="eastAsia"/>
          <w:kern w:val="0"/>
          <w:szCs w:val="21"/>
        </w:rPr>
        <w:t>。</w:t>
      </w:r>
    </w:p>
    <w:p w:rsidR="00B16FFD" w:rsidRPr="009A1C14" w:rsidRDefault="00C81784" w:rsidP="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5</w:t>
      </w:r>
      <w:r w:rsidR="00007F89" w:rsidRPr="009A1C14">
        <w:rPr>
          <w:rFonts w:ascii="黑体" w:eastAsia="黑体" w:hAnsi="黑体" w:cs="黑体" w:hint="eastAsia"/>
          <w:kern w:val="0"/>
          <w:szCs w:val="21"/>
        </w:rPr>
        <w:t>、</w:t>
      </w:r>
      <w:r w:rsidR="00007F89" w:rsidRPr="009A1C14">
        <w:rPr>
          <w:rFonts w:ascii="黑体" w:eastAsia="黑体" w:hAnsi="黑体" w:cs="黑体"/>
          <w:kern w:val="0"/>
          <w:szCs w:val="21"/>
        </w:rPr>
        <w:t>产品到期日时，</w:t>
      </w:r>
      <w:r w:rsidR="00007F89" w:rsidRPr="009A1C14">
        <w:rPr>
          <w:rFonts w:ascii="黑体" w:eastAsia="黑体" w:hAnsi="黑体" w:cs="黑体" w:hint="eastAsia"/>
          <w:kern w:val="0"/>
          <w:szCs w:val="21"/>
        </w:rPr>
        <w:t>投资者持有的理财份额将在产品到期日全部自动赎回，赎回价格采用到期时的产品净值。</w:t>
      </w:r>
    </w:p>
    <w:p w:rsidR="00B16FFD" w:rsidRPr="009A1C14" w:rsidRDefault="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6</w:t>
      </w:r>
      <w:r w:rsidR="00007F89" w:rsidRPr="009A1C14">
        <w:rPr>
          <w:rFonts w:ascii="黑体" w:eastAsia="黑体" w:hAnsi="黑体" w:cs="黑体" w:hint="eastAsia"/>
          <w:kern w:val="0"/>
          <w:szCs w:val="21"/>
        </w:rPr>
        <w:t>、产品存续期内，若出现以下情况，产品</w:t>
      </w:r>
      <w:r w:rsidR="00007F89" w:rsidRPr="009A1C14">
        <w:rPr>
          <w:rFonts w:ascii="黑体" w:eastAsia="黑体" w:hAnsi="黑体" w:cs="黑体"/>
          <w:kern w:val="0"/>
          <w:szCs w:val="21"/>
        </w:rPr>
        <w:t>管理人</w:t>
      </w:r>
      <w:r w:rsidR="00007F89" w:rsidRPr="009A1C14">
        <w:rPr>
          <w:rFonts w:ascii="黑体" w:eastAsia="黑体" w:hAnsi="黑体" w:cs="黑体" w:hint="eastAsia"/>
          <w:kern w:val="0"/>
          <w:szCs w:val="21"/>
        </w:rPr>
        <w:t>有权拒绝或暂停接受投资者的全部或部分赎回申请：</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（1）因不可抗力导致产品管理机构无法接受投资者赎回申请；</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（2）产品</w:t>
      </w:r>
      <w:r w:rsidRPr="009A1C14">
        <w:rPr>
          <w:rFonts w:ascii="黑体" w:eastAsia="黑体" w:hAnsi="黑体" w:cs="黑体"/>
          <w:kern w:val="0"/>
          <w:szCs w:val="21"/>
        </w:rPr>
        <w:t>所投资</w:t>
      </w:r>
      <w:r w:rsidRPr="009A1C14">
        <w:rPr>
          <w:rFonts w:ascii="黑体" w:eastAsia="黑体" w:hAnsi="黑体" w:cs="黑体" w:hint="eastAsia"/>
          <w:kern w:val="0"/>
          <w:szCs w:val="21"/>
        </w:rPr>
        <w:t>资产无法及时、足额变现；</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（3）触发</w:t>
      </w:r>
      <w:r w:rsidRPr="009A1C14">
        <w:rPr>
          <w:rFonts w:ascii="黑体" w:eastAsia="黑体" w:hAnsi="黑体" w:cs="黑体"/>
          <w:kern w:val="0"/>
          <w:szCs w:val="21"/>
        </w:rPr>
        <w:t>巨额赎回情形</w:t>
      </w:r>
      <w:r w:rsidRPr="009A1C14">
        <w:rPr>
          <w:rFonts w:ascii="黑体" w:eastAsia="黑体" w:hAnsi="黑体" w:cs="黑体" w:hint="eastAsia"/>
          <w:kern w:val="0"/>
          <w:szCs w:val="21"/>
        </w:rPr>
        <w:t>（</w:t>
      </w:r>
      <w:r w:rsidRPr="009A1C14">
        <w:rPr>
          <w:rFonts w:ascii="黑体" w:eastAsia="黑体" w:hAnsi="黑体" w:cs="黑体"/>
          <w:kern w:val="0"/>
          <w:szCs w:val="21"/>
        </w:rPr>
        <w:t>详见</w:t>
      </w:r>
      <w:r w:rsidRPr="009A1C14">
        <w:rPr>
          <w:rFonts w:ascii="黑体" w:eastAsia="黑体" w:hAnsi="黑体" w:cs="黑体" w:hint="eastAsia"/>
          <w:kern w:val="0"/>
          <w:szCs w:val="21"/>
        </w:rPr>
        <w:t>本</w:t>
      </w:r>
      <w:r w:rsidRPr="009A1C14">
        <w:rPr>
          <w:rFonts w:ascii="黑体" w:eastAsia="黑体" w:hAnsi="黑体" w:cs="黑体"/>
          <w:kern w:val="0"/>
          <w:szCs w:val="21"/>
        </w:rPr>
        <w:t>节第</w:t>
      </w:r>
      <w:r w:rsidRPr="009A1C14">
        <w:rPr>
          <w:rFonts w:ascii="黑体" w:eastAsia="黑体" w:hAnsi="黑体" w:cs="黑体" w:hint="eastAsia"/>
          <w:kern w:val="0"/>
          <w:szCs w:val="21"/>
        </w:rPr>
        <w:t>五</w:t>
      </w:r>
      <w:r w:rsidRPr="009A1C14">
        <w:rPr>
          <w:rFonts w:ascii="黑体" w:eastAsia="黑体" w:hAnsi="黑体" w:cs="黑体"/>
          <w:kern w:val="0"/>
          <w:szCs w:val="21"/>
        </w:rPr>
        <w:t>部分）</w:t>
      </w:r>
      <w:r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（4）法律、法规或相关监管认定的其他情形。</w:t>
      </w:r>
    </w:p>
    <w:p w:rsidR="00B16FFD" w:rsidRPr="009A1C14" w:rsidRDefault="00C81784">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7</w:t>
      </w:r>
      <w:r w:rsidR="00007F89" w:rsidRPr="009A1C14">
        <w:rPr>
          <w:rFonts w:ascii="黑体" w:eastAsia="黑体" w:hAnsi="黑体" w:cs="黑体" w:hint="eastAsia"/>
          <w:b/>
          <w:kern w:val="0"/>
          <w:szCs w:val="21"/>
        </w:rPr>
        <w:t>、单个产品投资者在单个开放日申请赎回份额超过本产品总份额</w:t>
      </w:r>
      <w:r w:rsidR="00007F89" w:rsidRPr="009A1C14">
        <w:rPr>
          <w:rFonts w:ascii="黑体" w:eastAsia="黑体" w:hAnsi="黑体" w:cs="黑体"/>
          <w:b/>
          <w:kern w:val="0"/>
          <w:szCs w:val="21"/>
        </w:rPr>
        <w:t>10%的，产品管理人可以采取延期办理部分赎回申请或者延缓支付赎回款项的措施。</w:t>
      </w:r>
    </w:p>
    <w:p w:rsidR="00B16FFD" w:rsidRPr="009A1C14" w:rsidRDefault="00C81784">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lastRenderedPageBreak/>
        <w:t>8</w:t>
      </w:r>
      <w:r w:rsidR="00007F89" w:rsidRPr="009A1C14">
        <w:rPr>
          <w:rFonts w:ascii="黑体" w:eastAsia="黑体" w:hAnsi="黑体" w:cs="黑体" w:hint="eastAsia"/>
          <w:kern w:val="0"/>
          <w:szCs w:val="21"/>
        </w:rPr>
        <w:t>、</w:t>
      </w:r>
      <w:r w:rsidR="00007F89" w:rsidRPr="009A1C14">
        <w:rPr>
          <w:rFonts w:ascii="黑体" w:eastAsia="黑体" w:hAnsi="黑体" w:cs="黑体"/>
          <w:kern w:val="0"/>
          <w:szCs w:val="21"/>
        </w:rPr>
        <w:t>其他</w:t>
      </w:r>
      <w:r w:rsidR="00007F89"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赎回交易规则如下：</w:t>
      </w:r>
    </w:p>
    <w:tbl>
      <w:tblPr>
        <w:tblStyle w:val="3"/>
        <w:tblW w:w="0" w:type="auto"/>
        <w:tblLook w:val="04A0" w:firstRow="1" w:lastRow="0" w:firstColumn="1" w:lastColumn="0" w:noHBand="0" w:noVBand="1"/>
      </w:tblPr>
      <w:tblGrid>
        <w:gridCol w:w="2765"/>
        <w:gridCol w:w="2765"/>
        <w:gridCol w:w="2766"/>
      </w:tblGrid>
      <w:tr w:rsidR="00B16FFD" w:rsidRPr="009A1C14">
        <w:tc>
          <w:tcPr>
            <w:tcW w:w="2765"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赎回发起时间</w:t>
            </w:r>
          </w:p>
        </w:tc>
        <w:tc>
          <w:tcPr>
            <w:tcW w:w="2765"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赎回受理日</w:t>
            </w:r>
          </w:p>
        </w:tc>
        <w:tc>
          <w:tcPr>
            <w:tcW w:w="2766" w:type="dxa"/>
          </w:tcPr>
          <w:p w:rsidR="00B16FFD" w:rsidRPr="009A1C14" w:rsidRDefault="00007F89">
            <w:pPr>
              <w:autoSpaceDE w:val="0"/>
              <w:autoSpaceDN w:val="0"/>
              <w:adjustRightInd w:val="0"/>
              <w:jc w:val="center"/>
              <w:rPr>
                <w:rFonts w:ascii="黑体" w:eastAsia="黑体" w:hAnsi="黑体" w:cs="黑体"/>
                <w:b/>
                <w:color w:val="000000" w:themeColor="text1"/>
                <w:kern w:val="0"/>
                <w:szCs w:val="21"/>
              </w:rPr>
            </w:pPr>
            <w:r w:rsidRPr="009A1C14">
              <w:rPr>
                <w:rFonts w:ascii="黑体" w:eastAsia="黑体" w:hAnsi="黑体" w:cs="黑体" w:hint="eastAsia"/>
                <w:b/>
                <w:color w:val="000000" w:themeColor="text1"/>
                <w:kern w:val="0"/>
                <w:szCs w:val="21"/>
              </w:rPr>
              <w:t>赎回确认日</w:t>
            </w:r>
          </w:p>
        </w:tc>
      </w:tr>
      <w:tr w:rsidR="00B16FFD" w:rsidRPr="009A1C14">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每个工作日</w:t>
            </w:r>
            <w:r w:rsidRPr="009A1C14">
              <w:rPr>
                <w:rFonts w:ascii="黑体" w:eastAsia="黑体" w:hAnsi="黑体" w:cs="黑体"/>
                <w:color w:val="000000" w:themeColor="text1"/>
                <w:kern w:val="0"/>
                <w:szCs w:val="21"/>
              </w:rPr>
              <w:t>0:00-17:00</w:t>
            </w:r>
            <w:r w:rsidRPr="009A1C14">
              <w:rPr>
                <w:rFonts w:ascii="黑体" w:eastAsia="黑体" w:hAnsi="黑体" w:cs="黑体" w:hint="eastAsia"/>
                <w:color w:val="000000" w:themeColor="text1"/>
                <w:kern w:val="0"/>
                <w:szCs w:val="21"/>
              </w:rPr>
              <w:t>（不含）</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发起当日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r w:rsidR="00B16FFD" w:rsidRPr="009A1C14">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每个工作日</w:t>
            </w:r>
            <w:r w:rsidRPr="009A1C14">
              <w:rPr>
                <w:rFonts w:ascii="黑体" w:eastAsia="黑体" w:hAnsi="黑体" w:cs="黑体"/>
                <w:color w:val="000000" w:themeColor="text1"/>
                <w:kern w:val="0"/>
                <w:szCs w:val="21"/>
              </w:rPr>
              <w:t>17:00-24:00</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发起日下一工作日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r w:rsidR="00B16FFD" w:rsidRPr="009A1C14">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非工作日</w:t>
            </w:r>
            <w:r w:rsidRPr="009A1C14">
              <w:rPr>
                <w:rFonts w:ascii="黑体" w:eastAsia="黑体" w:hAnsi="黑体" w:cs="黑体"/>
                <w:color w:val="000000" w:themeColor="text1"/>
                <w:kern w:val="0"/>
                <w:szCs w:val="21"/>
              </w:rPr>
              <w:t>0:00-24:00</w:t>
            </w:r>
          </w:p>
        </w:tc>
        <w:tc>
          <w:tcPr>
            <w:tcW w:w="2765"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发起日下一工作日</w:t>
            </w:r>
          </w:p>
        </w:tc>
        <w:tc>
          <w:tcPr>
            <w:tcW w:w="2766" w:type="dxa"/>
          </w:tcPr>
          <w:p w:rsidR="00B16FFD" w:rsidRPr="009A1C14" w:rsidRDefault="00007F89">
            <w:pPr>
              <w:autoSpaceDE w:val="0"/>
              <w:autoSpaceDN w:val="0"/>
              <w:adjustRightInd w:val="0"/>
              <w:jc w:val="center"/>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受理日下一工作日</w:t>
            </w:r>
          </w:p>
        </w:tc>
      </w:tr>
    </w:tbl>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具体赎回确认及到账时间以销售机构显示为准。</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w:t>
      </w:r>
      <w:r w:rsidRPr="009A1C14">
        <w:rPr>
          <w:rFonts w:ascii="黑体" w:eastAsia="黑体" w:hAnsi="黑体" w:cs="宋体"/>
          <w:kern w:val="0"/>
          <w:szCs w:val="21"/>
        </w:rPr>
        <w:t>三）产品净值公布方式</w:t>
      </w:r>
    </w:p>
    <w:p w:rsidR="00B16FFD" w:rsidRPr="009A1C14" w:rsidRDefault="00007F89">
      <w:pPr>
        <w:autoSpaceDE w:val="0"/>
        <w:autoSpaceDN w:val="0"/>
        <w:adjustRightInd w:val="0"/>
        <w:ind w:firstLine="420"/>
        <w:jc w:val="left"/>
        <w:rPr>
          <w:rFonts w:ascii="黑体" w:eastAsia="黑体" w:hAnsi="黑体" w:cs="黑体"/>
          <w:kern w:val="0"/>
          <w:szCs w:val="21"/>
        </w:rPr>
      </w:pPr>
      <w:r w:rsidRPr="009A1C14">
        <w:rPr>
          <w:rFonts w:ascii="黑体" w:eastAsia="黑体" w:hAnsi="黑体" w:cs="黑体" w:hint="eastAsia"/>
          <w:kern w:val="0"/>
          <w:szCs w:val="21"/>
        </w:rPr>
        <w:t>本产品单位净值每日归1，净值大于1的部分以红利再投的方式每日结转为份额，存续期内本产品的单位净值为每份1.00元。</w:t>
      </w:r>
    </w:p>
    <w:p w:rsidR="00B16FFD" w:rsidRPr="009A1C14" w:rsidRDefault="00007F89">
      <w:pPr>
        <w:autoSpaceDE w:val="0"/>
        <w:autoSpaceDN w:val="0"/>
        <w:adjustRightInd w:val="0"/>
        <w:ind w:firstLine="420"/>
        <w:jc w:val="left"/>
        <w:rPr>
          <w:rFonts w:ascii="黑体" w:eastAsia="黑体" w:hAnsi="黑体" w:cs="黑体"/>
          <w:kern w:val="0"/>
          <w:szCs w:val="21"/>
        </w:rPr>
      </w:pPr>
      <w:r w:rsidRPr="009A1C14">
        <w:rPr>
          <w:rFonts w:ascii="黑体" w:eastAsia="黑体" w:hAnsi="黑体" w:cs="黑体" w:hint="eastAsia"/>
          <w:b/>
          <w:kern w:val="0"/>
          <w:szCs w:val="21"/>
        </w:rPr>
        <w:t>产品存续期内每个产品开放日结束后</w:t>
      </w:r>
      <w:r w:rsidRPr="009A1C14">
        <w:rPr>
          <w:rFonts w:ascii="黑体" w:eastAsia="黑体" w:hAnsi="黑体" w:cs="黑体"/>
          <w:b/>
          <w:kern w:val="0"/>
          <w:szCs w:val="21"/>
        </w:rPr>
        <w:t xml:space="preserve"> 2 </w:t>
      </w:r>
      <w:r w:rsidRPr="009A1C14">
        <w:rPr>
          <w:rFonts w:ascii="黑体" w:eastAsia="黑体" w:hAnsi="黑体" w:cs="黑体" w:hint="eastAsia"/>
          <w:b/>
          <w:kern w:val="0"/>
          <w:szCs w:val="21"/>
        </w:rPr>
        <w:t>个工作日内公告该产品开放日的产品净值</w:t>
      </w:r>
      <w:r w:rsidRPr="009A1C14">
        <w:rPr>
          <w:rFonts w:ascii="黑体" w:eastAsia="黑体" w:hAnsi="黑体" w:cs="黑体" w:hint="eastAsia"/>
          <w:kern w:val="0"/>
          <w:szCs w:val="21"/>
        </w:rPr>
        <w:t>、申购价格、赎回价格、每万份产品净收益和七日年化收益率。如有其它特殊情况的，以产品管理人公告为准。</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（四</w:t>
      </w:r>
      <w:r w:rsidRPr="009A1C14">
        <w:rPr>
          <w:rFonts w:ascii="黑体" w:eastAsia="黑体" w:hAnsi="黑体" w:cs="宋体"/>
          <w:kern w:val="0"/>
          <w:szCs w:val="21"/>
        </w:rPr>
        <w:t>）</w:t>
      </w:r>
      <w:r w:rsidRPr="009A1C14">
        <w:rPr>
          <w:rFonts w:ascii="黑体" w:eastAsia="黑体" w:hAnsi="黑体" w:cs="宋体" w:hint="eastAsia"/>
          <w:kern w:val="0"/>
          <w:szCs w:val="21"/>
        </w:rPr>
        <w:t>投资者持有份额及金额计算规则</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1、计算规则（不考虑强制赎回费）</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 xml:space="preserve">认购确认份额 = 认购金额 / </w:t>
      </w:r>
      <w:r w:rsidRPr="009A1C14">
        <w:rPr>
          <w:rFonts w:ascii="黑体" w:eastAsia="黑体" w:hAnsi="黑体" w:cs="黑体"/>
          <w:kern w:val="0"/>
          <w:szCs w:val="21"/>
        </w:rPr>
        <w:t>1.00</w:t>
      </w:r>
      <w:r w:rsidRPr="009A1C14">
        <w:rPr>
          <w:rFonts w:ascii="黑体" w:eastAsia="黑体" w:hAnsi="黑体" w:cs="黑体" w:hint="eastAsia"/>
          <w:kern w:val="0"/>
          <w:szCs w:val="21"/>
        </w:rPr>
        <w:t>元</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 xml:space="preserve">申购确认份额 = 申购金额 / </w:t>
      </w:r>
      <w:r w:rsidRPr="009A1C14">
        <w:rPr>
          <w:rFonts w:ascii="黑体" w:eastAsia="黑体" w:hAnsi="黑体" w:cs="黑体"/>
          <w:kern w:val="0"/>
          <w:szCs w:val="21"/>
        </w:rPr>
        <w:t>1.00</w:t>
      </w:r>
      <w:r w:rsidRPr="009A1C14">
        <w:rPr>
          <w:rFonts w:ascii="黑体" w:eastAsia="黑体" w:hAnsi="黑体" w:cs="黑体" w:hint="eastAsia"/>
          <w:kern w:val="0"/>
          <w:szCs w:val="21"/>
        </w:rPr>
        <w:t>元</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 xml:space="preserve">赎回确认金额 = 赎回份额 * </w:t>
      </w:r>
      <w:r w:rsidRPr="009A1C14">
        <w:rPr>
          <w:rFonts w:ascii="黑体" w:eastAsia="黑体" w:hAnsi="黑体" w:cs="黑体"/>
          <w:kern w:val="0"/>
          <w:szCs w:val="21"/>
        </w:rPr>
        <w:t>1.00</w:t>
      </w:r>
      <w:r w:rsidRPr="009A1C14">
        <w:rPr>
          <w:rFonts w:ascii="黑体" w:eastAsia="黑体" w:hAnsi="黑体" w:cs="黑体" w:hint="eastAsia"/>
          <w:kern w:val="0"/>
          <w:szCs w:val="21"/>
        </w:rPr>
        <w:t>元</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计算得出的金额采取四舍五入后精确到小数点后2位或采取截位规则，计算得出的份额采取截位规则取小数点后2位。具体以产品管理人实际确认为准。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2、计算示例</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情景</w:t>
      </w:r>
      <w:r w:rsidRPr="009A1C14">
        <w:rPr>
          <w:rFonts w:ascii="黑体" w:eastAsia="黑体" w:hAnsi="黑体" w:cs="黑体"/>
          <w:color w:val="000000" w:themeColor="text1"/>
          <w:kern w:val="0"/>
          <w:szCs w:val="21"/>
        </w:rPr>
        <w:t>1：</w:t>
      </w:r>
      <w:r w:rsidRPr="009A1C14">
        <w:rPr>
          <w:rFonts w:ascii="黑体" w:eastAsia="黑体" w:hAnsi="黑体" w:cs="黑体" w:hint="eastAsia"/>
          <w:color w:val="000000" w:themeColor="text1"/>
          <w:kern w:val="0"/>
          <w:szCs w:val="21"/>
        </w:rPr>
        <w:t>假设投资者于募集期</w:t>
      </w:r>
      <w:r w:rsidRPr="009A1C14">
        <w:rPr>
          <w:rFonts w:ascii="黑体" w:eastAsia="黑体" w:hAnsi="黑体" w:cs="黑体"/>
          <w:color w:val="000000" w:themeColor="text1"/>
          <w:kern w:val="0"/>
          <w:szCs w:val="21"/>
        </w:rPr>
        <w:t>/产品存续期</w:t>
      </w:r>
      <w:r w:rsidRPr="009A1C14">
        <w:rPr>
          <w:rFonts w:ascii="黑体" w:eastAsia="黑体" w:hAnsi="黑体" w:cs="黑体" w:hint="eastAsia"/>
          <w:color w:val="000000" w:themeColor="text1"/>
          <w:kern w:val="0"/>
          <w:szCs w:val="21"/>
        </w:rPr>
        <w:t>认购</w:t>
      </w:r>
      <w:r w:rsidRPr="009A1C14">
        <w:rPr>
          <w:rFonts w:ascii="黑体" w:eastAsia="黑体" w:hAnsi="黑体" w:cs="黑体"/>
          <w:color w:val="000000" w:themeColor="text1"/>
          <w:kern w:val="0"/>
          <w:szCs w:val="21"/>
        </w:rPr>
        <w:t>/申购</w:t>
      </w:r>
      <w:r w:rsidRPr="009A1C14">
        <w:rPr>
          <w:rFonts w:ascii="黑体" w:eastAsia="黑体" w:hAnsi="黑体" w:cs="黑体" w:hint="eastAsia"/>
          <w:color w:val="000000" w:themeColor="text1"/>
          <w:kern w:val="0"/>
          <w:szCs w:val="21"/>
        </w:rPr>
        <w:t>本产品，投资本金为</w:t>
      </w:r>
      <w:r w:rsidRPr="009A1C14">
        <w:rPr>
          <w:rFonts w:ascii="黑体" w:eastAsia="黑体" w:hAnsi="黑体" w:cs="黑体"/>
          <w:color w:val="000000" w:themeColor="text1"/>
          <w:kern w:val="0"/>
          <w:szCs w:val="21"/>
        </w:rPr>
        <w:t>100,000.00</w:t>
      </w:r>
      <w:r w:rsidRPr="009A1C14">
        <w:rPr>
          <w:rFonts w:ascii="黑体" w:eastAsia="黑体" w:hAnsi="黑体" w:cs="黑体" w:hint="eastAsia"/>
          <w:color w:val="000000" w:themeColor="text1"/>
          <w:kern w:val="0"/>
          <w:szCs w:val="21"/>
        </w:rPr>
        <w:t>元人民币，认购</w:t>
      </w:r>
      <w:r w:rsidRPr="009A1C14">
        <w:rPr>
          <w:rFonts w:ascii="黑体" w:eastAsia="黑体" w:hAnsi="黑体" w:cs="黑体"/>
          <w:color w:val="000000" w:themeColor="text1"/>
          <w:kern w:val="0"/>
          <w:szCs w:val="21"/>
        </w:rPr>
        <w:t>/申购</w:t>
      </w:r>
      <w:r w:rsidRPr="009A1C14">
        <w:rPr>
          <w:rFonts w:ascii="黑体" w:eastAsia="黑体" w:hAnsi="黑体" w:cs="黑体" w:hint="eastAsia"/>
          <w:color w:val="000000" w:themeColor="text1"/>
          <w:kern w:val="0"/>
          <w:szCs w:val="21"/>
        </w:rPr>
        <w:t>价格为</w:t>
      </w:r>
      <w:r w:rsidRPr="009A1C14">
        <w:rPr>
          <w:rFonts w:ascii="黑体" w:eastAsia="黑体" w:hAnsi="黑体" w:cs="黑体"/>
          <w:color w:val="000000" w:themeColor="text1"/>
          <w:kern w:val="0"/>
          <w:szCs w:val="21"/>
        </w:rPr>
        <w:t>1.00</w:t>
      </w:r>
      <w:r w:rsidRPr="009A1C14">
        <w:rPr>
          <w:rFonts w:ascii="黑体" w:eastAsia="黑体" w:hAnsi="黑体" w:cs="黑体" w:hint="eastAsia"/>
          <w:color w:val="000000" w:themeColor="text1"/>
          <w:kern w:val="0"/>
          <w:szCs w:val="21"/>
        </w:rPr>
        <w:t>元</w:t>
      </w:r>
      <w:r w:rsidRPr="009A1C14">
        <w:rPr>
          <w:rFonts w:ascii="黑体" w:eastAsia="黑体" w:hAnsi="黑体" w:cs="黑体"/>
          <w:color w:val="000000" w:themeColor="text1"/>
          <w:kern w:val="0"/>
          <w:szCs w:val="21"/>
        </w:rPr>
        <w:t>/</w:t>
      </w:r>
      <w:r w:rsidRPr="009A1C14">
        <w:rPr>
          <w:rFonts w:ascii="黑体" w:eastAsia="黑体" w:hAnsi="黑体" w:cs="黑体" w:hint="eastAsia"/>
          <w:color w:val="000000" w:themeColor="text1"/>
          <w:kern w:val="0"/>
          <w:szCs w:val="21"/>
        </w:rPr>
        <w:t>份，则投资者持有份额为：</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认购</w:t>
      </w:r>
      <w:r w:rsidRPr="009A1C14">
        <w:rPr>
          <w:rFonts w:ascii="黑体" w:eastAsia="黑体" w:hAnsi="黑体" w:cs="黑体"/>
          <w:color w:val="000000" w:themeColor="text1"/>
          <w:kern w:val="0"/>
          <w:szCs w:val="21"/>
        </w:rPr>
        <w:t>/申购</w:t>
      </w:r>
      <w:r w:rsidRPr="009A1C14">
        <w:rPr>
          <w:rFonts w:ascii="黑体" w:eastAsia="黑体" w:hAnsi="黑体" w:cs="黑体" w:hint="eastAsia"/>
          <w:color w:val="000000" w:themeColor="text1"/>
          <w:kern w:val="0"/>
          <w:szCs w:val="21"/>
        </w:rPr>
        <w:t>确认份额</w:t>
      </w:r>
      <w:r w:rsidRPr="009A1C14">
        <w:rPr>
          <w:rFonts w:ascii="黑体" w:eastAsia="黑体" w:hAnsi="黑体" w:cs="黑体"/>
          <w:color w:val="000000" w:themeColor="text1"/>
          <w:kern w:val="0"/>
          <w:szCs w:val="21"/>
        </w:rPr>
        <w:t>=100,000.00÷1.00=100,000.00（份）</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情景</w:t>
      </w:r>
      <w:r w:rsidRPr="009A1C14">
        <w:rPr>
          <w:rFonts w:ascii="黑体" w:eastAsia="黑体" w:hAnsi="黑体" w:cs="黑体"/>
          <w:color w:val="000000" w:themeColor="text1"/>
          <w:kern w:val="0"/>
          <w:szCs w:val="21"/>
        </w:rPr>
        <w:t>2</w:t>
      </w:r>
      <w:r w:rsidRPr="009A1C14">
        <w:rPr>
          <w:rFonts w:ascii="黑体" w:eastAsia="黑体" w:hAnsi="黑体" w:cs="黑体" w:hint="eastAsia"/>
          <w:color w:val="000000" w:themeColor="text1"/>
          <w:kern w:val="0"/>
          <w:szCs w:val="21"/>
        </w:rPr>
        <w:t>：假设投资者某日赎回持有份额</w:t>
      </w:r>
      <w:r w:rsidRPr="009A1C14">
        <w:rPr>
          <w:rFonts w:ascii="黑体" w:eastAsia="黑体" w:hAnsi="黑体" w:cs="黑体"/>
          <w:color w:val="000000" w:themeColor="text1"/>
          <w:kern w:val="0"/>
          <w:szCs w:val="21"/>
        </w:rPr>
        <w:t xml:space="preserve">100,000.00 </w:t>
      </w:r>
      <w:r w:rsidRPr="009A1C14">
        <w:rPr>
          <w:rFonts w:ascii="黑体" w:eastAsia="黑体" w:hAnsi="黑体" w:cs="黑体" w:hint="eastAsia"/>
          <w:color w:val="000000" w:themeColor="text1"/>
          <w:kern w:val="0"/>
          <w:szCs w:val="21"/>
        </w:rPr>
        <w:t>份，且投资者赎回份额不收取强制赎回费，若赎回确认金额采取四舍五入后精确到小数点后2位，则兑付投资者的赎回确认金额为：</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赎回确认金额</w:t>
      </w:r>
      <w:r w:rsidRPr="009A1C14">
        <w:rPr>
          <w:rFonts w:ascii="黑体" w:eastAsia="黑体" w:hAnsi="黑体" w:cs="黑体"/>
          <w:color w:val="000000" w:themeColor="text1"/>
          <w:kern w:val="0"/>
          <w:szCs w:val="21"/>
        </w:rPr>
        <w:t>=100,000.00×1.00=100,000.00（元）</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测算收益不等于实际收益，投资须谨慎。</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（五）巨额赎回</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1</w:t>
      </w:r>
      <w:r w:rsidRPr="009A1C14">
        <w:rPr>
          <w:rFonts w:ascii="黑体" w:eastAsia="黑体" w:hAnsi="黑体" w:cs="黑体" w:hint="eastAsia"/>
          <w:kern w:val="0"/>
          <w:szCs w:val="21"/>
        </w:rPr>
        <w:t>、在单个产品开放日，产品累计净赎回份额（累计赎回份额</w:t>
      </w:r>
      <w:r w:rsidRPr="009A1C14">
        <w:rPr>
          <w:rFonts w:ascii="黑体" w:eastAsia="黑体" w:hAnsi="黑体" w:cs="黑体"/>
          <w:kern w:val="0"/>
          <w:szCs w:val="21"/>
        </w:rPr>
        <w:t>-累计</w:t>
      </w:r>
      <w:r w:rsidRPr="009A1C14">
        <w:rPr>
          <w:rFonts w:ascii="黑体" w:eastAsia="黑体" w:hAnsi="黑体" w:cs="黑体" w:hint="eastAsia"/>
          <w:kern w:val="0"/>
          <w:szCs w:val="21"/>
        </w:rPr>
        <w:t>申购份额）超过开放日前一个工作日日终份额的</w:t>
      </w:r>
      <w:r w:rsidRPr="009A1C14">
        <w:rPr>
          <w:rFonts w:ascii="黑体" w:eastAsia="黑体" w:hAnsi="黑体" w:cs="黑体"/>
          <w:kern w:val="0"/>
          <w:szCs w:val="21"/>
        </w:rPr>
        <w:t>10%</w:t>
      </w:r>
      <w:r w:rsidRPr="009A1C14">
        <w:rPr>
          <w:rFonts w:ascii="黑体" w:eastAsia="黑体" w:hAnsi="黑体" w:cs="黑体" w:hint="eastAsia"/>
          <w:kern w:val="0"/>
          <w:szCs w:val="21"/>
        </w:rPr>
        <w:t>时，触发巨额赎回</w:t>
      </w:r>
      <w:r w:rsidR="00591578" w:rsidRPr="009A1C14">
        <w:rPr>
          <w:rFonts w:ascii="黑体" w:eastAsia="黑体" w:hAnsi="黑体" w:cs="黑体" w:hint="eastAsia"/>
          <w:kern w:val="0"/>
          <w:szCs w:val="21"/>
        </w:rPr>
        <w:t>（快速赎回不同于普通赎回，暂不适用于巨额赎回的约定）</w:t>
      </w:r>
      <w:r w:rsidRPr="009A1C14">
        <w:rPr>
          <w:rFonts w:ascii="黑体" w:eastAsia="黑体" w:hAnsi="黑体" w:cs="黑体" w:hint="eastAsia"/>
          <w:kern w:val="0"/>
          <w:szCs w:val="21"/>
        </w:rPr>
        <w:t>。</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2、</w:t>
      </w:r>
      <w:r w:rsidRPr="009A1C14">
        <w:rPr>
          <w:rFonts w:ascii="黑体" w:eastAsia="黑体" w:hAnsi="黑体" w:cs="宋体" w:hint="eastAsia"/>
          <w:kern w:val="0"/>
          <w:szCs w:val="21"/>
        </w:rPr>
        <w:t>产品在开放日发生巨额赎回时，产品管理人有权根据产品当时的投资运作情况决定采取全额赎回、部分赎回、暂停赎回等措施。在运用部分赎回、暂停赎回等措施后，产品管理人将在巨额赎回发生后3个工作日内进行信息披露，并说明运用相关措施的原因、拟采取的应对安排等</w:t>
      </w:r>
      <w:r w:rsidRPr="009A1C14">
        <w:rPr>
          <w:rFonts w:ascii="黑体" w:eastAsia="黑体" w:hAnsi="黑体" w:cs="宋体"/>
          <w:kern w:val="0"/>
          <w:szCs w:val="21"/>
        </w:rPr>
        <w:t>。</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w:t>
      </w:r>
      <w:r w:rsidRPr="009A1C14">
        <w:rPr>
          <w:rFonts w:ascii="黑体" w:eastAsia="黑体" w:hAnsi="黑体" w:cs="宋体"/>
          <w:kern w:val="0"/>
          <w:szCs w:val="21"/>
        </w:rPr>
        <w:t>1）全额赎回：当产品管理人有能力兑付投资者的全部赎回申请时，将在申请确认日按投资者申请赎回份额执行正常赎回程序。</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w:t>
      </w:r>
      <w:r w:rsidRPr="009A1C14">
        <w:rPr>
          <w:rFonts w:ascii="黑体" w:eastAsia="黑体" w:hAnsi="黑体" w:cs="宋体"/>
          <w:kern w:val="0"/>
          <w:szCs w:val="21"/>
        </w:rPr>
        <w:t>2）部分赎回：产品管理人在申请确认日</w:t>
      </w:r>
      <w:r w:rsidRPr="009A1C14">
        <w:rPr>
          <w:rFonts w:ascii="黑体" w:eastAsia="黑体" w:hAnsi="黑体" w:cs="宋体" w:hint="eastAsia"/>
          <w:kern w:val="0"/>
          <w:szCs w:val="21"/>
        </w:rPr>
        <w:t>确认受理赎回比例不低于上一日产品总份额</w:t>
      </w:r>
      <w:r w:rsidRPr="009A1C14">
        <w:rPr>
          <w:rFonts w:ascii="黑体" w:eastAsia="黑体" w:hAnsi="黑体" w:cs="宋体"/>
          <w:kern w:val="0"/>
          <w:szCs w:val="21"/>
        </w:rPr>
        <w:t>10%的前提下，有权拒绝</w:t>
      </w:r>
      <w:r w:rsidRPr="009A1C14">
        <w:rPr>
          <w:rFonts w:ascii="黑体" w:eastAsia="黑体" w:hAnsi="黑体" w:cs="宋体" w:hint="eastAsia"/>
          <w:kern w:val="0"/>
          <w:szCs w:val="21"/>
        </w:rPr>
        <w:t>受理其余部分或全部赎回申请。对于当期确认受理的总赎回申请份额，产品管理人将在申请确认日按单个投资者申请赎回份额占当期申请赎回总份额的比例，确定受理该单个投资者当期的赎回份额。针对当日未确认受理的赎回申请份额，投资</w:t>
      </w:r>
      <w:r w:rsidRPr="009A1C14">
        <w:rPr>
          <w:rFonts w:ascii="黑体" w:eastAsia="黑体" w:hAnsi="黑体" w:cs="宋体" w:hint="eastAsia"/>
          <w:kern w:val="0"/>
          <w:szCs w:val="21"/>
        </w:rPr>
        <w:lastRenderedPageBreak/>
        <w:t>者可在申请赎回时选择予以撤销，未选择撤销的赎回申请，产品管理人可以延迟至下一开放日处理，延迟至下一开放日的赎回申请不享有优先确认权。巨额赎回处理方式具体以销售机构展示为准。</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w:t>
      </w:r>
      <w:r w:rsidRPr="009A1C14">
        <w:rPr>
          <w:rFonts w:ascii="黑体" w:eastAsia="黑体" w:hAnsi="黑体" w:cs="宋体"/>
          <w:kern w:val="0"/>
          <w:szCs w:val="21"/>
        </w:rPr>
        <w:t>3）暂停赎回：产品连续2个以上开放日发生巨额赎回的，</w:t>
      </w:r>
      <w:r w:rsidRPr="009A1C14">
        <w:rPr>
          <w:rFonts w:ascii="黑体" w:eastAsia="黑体" w:hAnsi="黑体" w:cs="宋体" w:hint="eastAsia"/>
          <w:kern w:val="0"/>
          <w:szCs w:val="21"/>
        </w:rPr>
        <w:t>除采取上述措施外，如产品管理人认为有必要，可暂停接受产品的赎回申请；对于已经接受的赎回申请，</w:t>
      </w:r>
      <w:r w:rsidRPr="009A1C14">
        <w:rPr>
          <w:rFonts w:ascii="黑体" w:eastAsia="黑体" w:hAnsi="黑体" w:cs="宋体"/>
          <w:kern w:val="0"/>
          <w:szCs w:val="21"/>
        </w:rPr>
        <w:t>产品管理人有权</w:t>
      </w:r>
      <w:r w:rsidRPr="009A1C14">
        <w:rPr>
          <w:rFonts w:ascii="黑体" w:eastAsia="黑体" w:hAnsi="黑体" w:cs="宋体" w:hint="eastAsia"/>
          <w:kern w:val="0"/>
          <w:szCs w:val="21"/>
        </w:rPr>
        <w:t>延缓支付赎回款项，但延缓期限不得超过</w:t>
      </w:r>
      <w:r w:rsidRPr="009A1C14">
        <w:rPr>
          <w:rFonts w:ascii="黑体" w:eastAsia="黑体" w:hAnsi="黑体" w:cs="宋体"/>
          <w:kern w:val="0"/>
          <w:szCs w:val="21"/>
        </w:rPr>
        <w:t>20个工作日。</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u w:val="single"/>
        </w:rPr>
      </w:pPr>
      <w:r w:rsidRPr="009A1C14">
        <w:rPr>
          <w:rFonts w:ascii="黑体" w:eastAsia="黑体" w:hAnsi="黑体" w:cs="黑体"/>
          <w:color w:val="000000" w:themeColor="text1"/>
          <w:kern w:val="0"/>
          <w:szCs w:val="21"/>
        </w:rPr>
        <w:t>3</w:t>
      </w:r>
      <w:r w:rsidRPr="009A1C14">
        <w:rPr>
          <w:rFonts w:ascii="黑体" w:eastAsia="黑体" w:hAnsi="黑体" w:cs="黑体" w:hint="eastAsia"/>
          <w:color w:val="000000" w:themeColor="text1"/>
          <w:kern w:val="0"/>
          <w:szCs w:val="21"/>
        </w:rPr>
        <w:t>、其他：无</w:t>
      </w:r>
    </w:p>
    <w:p w:rsidR="00B16FFD" w:rsidRPr="009A1C14" w:rsidRDefault="00007F89">
      <w:pPr>
        <w:autoSpaceDE w:val="0"/>
        <w:autoSpaceDN w:val="0"/>
        <w:adjustRightInd w:val="0"/>
        <w:jc w:val="left"/>
        <w:rPr>
          <w:rFonts w:ascii="黑体" w:eastAsia="黑体" w:hAnsi="黑体" w:cs="黑体"/>
          <w:kern w:val="0"/>
          <w:szCs w:val="21"/>
        </w:rPr>
      </w:pPr>
      <w:r w:rsidRPr="009A1C14">
        <w:rPr>
          <w:rFonts w:ascii="黑体" w:eastAsia="黑体" w:hAnsi="黑体" w:cs="黑体" w:hint="eastAsia"/>
          <w:kern w:val="0"/>
          <w:szCs w:val="21"/>
        </w:rPr>
        <w:t>（六</w:t>
      </w:r>
      <w:r w:rsidRPr="009A1C14">
        <w:rPr>
          <w:rFonts w:ascii="黑体" w:eastAsia="黑体" w:hAnsi="黑体" w:cs="黑体"/>
          <w:kern w:val="0"/>
          <w:szCs w:val="21"/>
        </w:rPr>
        <w:t>）分红规则</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1、本产品的分红方式为红利再投资，免收再投资的申购费用。详见本说明书第六部分产品费用、收益及税收说明。</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2、产品管理人有权根据产品实际运作情况，对本产品的分红规则进行调整，如有相应调整，公司将于调整前3个工作日进行信息披露。</w:t>
      </w:r>
    </w:p>
    <w:p w:rsidR="00B16FFD" w:rsidRPr="009A1C14" w:rsidRDefault="00B16FFD">
      <w:pPr>
        <w:autoSpaceDE w:val="0"/>
        <w:autoSpaceDN w:val="0"/>
        <w:adjustRightInd w:val="0"/>
        <w:ind w:firstLineChars="200" w:firstLine="420"/>
        <w:jc w:val="left"/>
        <w:rPr>
          <w:rFonts w:ascii="黑体" w:eastAsia="黑体" w:hAnsi="黑体" w:cs="黑体"/>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五、产品资产估值原则</w:t>
      </w:r>
      <w:r w:rsidRPr="009A1C14">
        <w:rPr>
          <w:rFonts w:ascii="黑体" w:eastAsia="黑体" w:hAnsi="黑体" w:cs="黑体"/>
          <w:b/>
          <w:kern w:val="0"/>
          <w:szCs w:val="21"/>
        </w:rPr>
        <w:t>及方法</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（一）估值日</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本产品估值日为国家法定工作日。</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（二</w:t>
      </w:r>
      <w:r w:rsidRPr="009A1C14">
        <w:rPr>
          <w:rFonts w:ascii="黑体" w:eastAsia="黑体" w:hAnsi="黑体" w:cs="宋体"/>
          <w:kern w:val="0"/>
          <w:szCs w:val="21"/>
        </w:rPr>
        <w:t>）</w:t>
      </w:r>
      <w:r w:rsidRPr="009A1C14">
        <w:rPr>
          <w:rFonts w:ascii="黑体" w:eastAsia="黑体" w:hAnsi="黑体" w:cs="宋体" w:hint="eastAsia"/>
          <w:kern w:val="0"/>
          <w:szCs w:val="21"/>
        </w:rPr>
        <w:t>估值</w:t>
      </w:r>
      <w:r w:rsidRPr="009A1C14">
        <w:rPr>
          <w:rFonts w:ascii="黑体" w:eastAsia="黑体" w:hAnsi="黑体" w:cs="宋体"/>
          <w:kern w:val="0"/>
          <w:szCs w:val="21"/>
        </w:rPr>
        <w:t>原则</w:t>
      </w:r>
    </w:p>
    <w:p w:rsidR="00B16FFD" w:rsidRPr="009A1C14" w:rsidRDefault="00007F89">
      <w:pPr>
        <w:autoSpaceDE w:val="0"/>
        <w:autoSpaceDN w:val="0"/>
        <w:adjustRightInd w:val="0"/>
        <w:ind w:firstLineChars="200" w:firstLine="420"/>
        <w:rPr>
          <w:rFonts w:ascii="黑体" w:eastAsia="黑体" w:hAnsi="黑体" w:cs="黑体"/>
          <w:kern w:val="0"/>
          <w:szCs w:val="21"/>
        </w:rPr>
      </w:pPr>
      <w:r w:rsidRPr="009A1C14">
        <w:rPr>
          <w:rFonts w:ascii="黑体" w:eastAsia="黑体" w:hAnsi="黑体" w:cs="黑体" w:hint="eastAsia"/>
          <w:kern w:val="0"/>
          <w:szCs w:val="21"/>
        </w:rPr>
        <w:t>公司理财产品投资金融资产在符合企业会计准则的前提下坚持公允价值计量原则，鼓励使用市值计量。符合以下条件之一的，可按照企业会计准则以摊余成本进行计量：</w:t>
      </w:r>
    </w:p>
    <w:p w:rsidR="00B16FFD" w:rsidRPr="009A1C14" w:rsidRDefault="00007F89">
      <w:pPr>
        <w:autoSpaceDE w:val="0"/>
        <w:autoSpaceDN w:val="0"/>
        <w:adjustRightInd w:val="0"/>
        <w:ind w:firstLineChars="200" w:firstLine="420"/>
        <w:rPr>
          <w:rFonts w:ascii="黑体" w:eastAsia="黑体" w:hAnsi="黑体" w:cs="黑体"/>
          <w:kern w:val="0"/>
          <w:szCs w:val="21"/>
        </w:rPr>
      </w:pPr>
      <w:r w:rsidRPr="009A1C14">
        <w:rPr>
          <w:rFonts w:ascii="黑体" w:eastAsia="黑体" w:hAnsi="黑体" w:cs="黑体" w:hint="eastAsia"/>
          <w:kern w:val="0"/>
          <w:szCs w:val="21"/>
        </w:rPr>
        <w:t>（1）资产管理产品为封闭式产品，且所投金融资产以收取合同现金流量为目的并且持有到期。</w:t>
      </w:r>
    </w:p>
    <w:p w:rsidR="00B16FFD" w:rsidRPr="009A1C14" w:rsidRDefault="00007F89">
      <w:pPr>
        <w:autoSpaceDE w:val="0"/>
        <w:autoSpaceDN w:val="0"/>
        <w:adjustRightInd w:val="0"/>
        <w:ind w:firstLineChars="200" w:firstLine="420"/>
        <w:rPr>
          <w:rFonts w:ascii="黑体" w:eastAsia="黑体" w:hAnsi="黑体" w:cs="黑体"/>
          <w:kern w:val="0"/>
          <w:szCs w:val="21"/>
        </w:rPr>
      </w:pPr>
      <w:r w:rsidRPr="009A1C14">
        <w:rPr>
          <w:rFonts w:ascii="黑体" w:eastAsia="黑体" w:hAnsi="黑体" w:cs="黑体" w:hint="eastAsia"/>
          <w:kern w:val="0"/>
          <w:szCs w:val="21"/>
        </w:rPr>
        <w:t>（2）资产管理产品为封闭式产品，且所投金融资产暂不具备活跃交易市场，或者在活跃市场中没有报价、也不能采用估值技术可靠计量公允价值。</w:t>
      </w:r>
    </w:p>
    <w:p w:rsidR="00B16FFD" w:rsidRPr="009A1C14" w:rsidRDefault="00007F89">
      <w:pPr>
        <w:autoSpaceDE w:val="0"/>
        <w:autoSpaceDN w:val="0"/>
        <w:adjustRightInd w:val="0"/>
        <w:ind w:firstLineChars="200" w:firstLine="420"/>
        <w:rPr>
          <w:rFonts w:ascii="黑体" w:eastAsia="黑体" w:hAnsi="黑体" w:cs="黑体"/>
          <w:kern w:val="0"/>
          <w:szCs w:val="21"/>
        </w:rPr>
      </w:pPr>
      <w:r w:rsidRPr="009A1C14">
        <w:rPr>
          <w:rFonts w:ascii="黑体" w:eastAsia="黑体" w:hAnsi="黑体" w:cs="黑体" w:hint="eastAsia"/>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B16FFD" w:rsidRPr="009A1C14" w:rsidRDefault="00007F89">
      <w:pPr>
        <w:autoSpaceDE w:val="0"/>
        <w:autoSpaceDN w:val="0"/>
        <w:adjustRightInd w:val="0"/>
        <w:ind w:firstLineChars="200" w:firstLine="420"/>
        <w:rPr>
          <w:rFonts w:ascii="黑体" w:eastAsia="黑体" w:hAnsi="黑体" w:cs="黑体"/>
          <w:kern w:val="0"/>
          <w:szCs w:val="21"/>
        </w:rPr>
      </w:pPr>
      <w:r w:rsidRPr="009A1C14">
        <w:rPr>
          <w:rFonts w:ascii="黑体" w:eastAsia="黑体" w:hAnsi="黑体" w:cs="黑体" w:hint="eastAsia"/>
          <w:kern w:val="0"/>
          <w:szCs w:val="21"/>
        </w:rPr>
        <w:t>如财政部、中央银行、</w:t>
      </w:r>
      <w:r w:rsidR="00E03532" w:rsidRPr="009A1C14">
        <w:rPr>
          <w:rFonts w:ascii="黑体" w:eastAsia="黑体" w:hAnsi="黑体" w:cs="黑体" w:hint="eastAsia"/>
          <w:kern w:val="0"/>
          <w:szCs w:val="21"/>
        </w:rPr>
        <w:t>国家金融监督管理总局</w:t>
      </w:r>
      <w:r w:rsidRPr="009A1C14">
        <w:rPr>
          <w:rFonts w:ascii="黑体" w:eastAsia="黑体" w:hAnsi="黑体" w:cs="黑体" w:hint="eastAsia"/>
          <w:kern w:val="0"/>
          <w:szCs w:val="21"/>
        </w:rPr>
        <w:t>等有关部门对估值原则另有规定的，从其规定。</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（三）估值对象</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本产品所持有的所有资产。</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（四）资产估值方法</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w:t>
      </w:r>
      <w:r w:rsidRPr="009A1C14">
        <w:rPr>
          <w:rFonts w:ascii="黑体" w:eastAsia="黑体" w:hAnsi="黑体" w:cs="黑体" w:hint="eastAsia"/>
          <w:kern w:val="0"/>
          <w:szCs w:val="21"/>
        </w:rPr>
        <w:tab/>
        <w:t>权益类证券</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在证券交易所上市流通的股票，估值日有交易的，按估值日收盘价估值；估值日无交</w:t>
      </w:r>
      <w:r w:rsidRPr="009A1C14">
        <w:rPr>
          <w:rFonts w:ascii="黑体" w:eastAsia="黑体" w:hAnsi="黑体" w:cs="黑体" w:hint="eastAsia"/>
          <w:kern w:val="0"/>
          <w:szCs w:val="21"/>
        </w:rPr>
        <w:lastRenderedPageBreak/>
        <w:t>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w:t>
      </w:r>
      <w:r w:rsidRPr="009A1C14">
        <w:rPr>
          <w:rFonts w:ascii="黑体" w:eastAsia="黑体" w:hAnsi="黑体" w:cs="黑体" w:hint="eastAsia"/>
          <w:kern w:val="0"/>
          <w:szCs w:val="21"/>
        </w:rPr>
        <w:tab/>
        <w:t>固定收益类证券</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理财产品直接持有的在证券交易所和全国银行间市场交易的债券，以交易为目的的，</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按第三方估值机构（中债、中证等）提供的估值数据，对本组合持有的债券进行估值，具体第三方估值机构由管理人和托管行具体协商确定；以收取合同现金流量为目的并持有到期的，在符合监管规定的情况下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资产支持证券和资产支持票据原则上按第三方估值机构（中债、中证等）提供的估值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3、存款类资产</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包括：活期存款、定期存款、通知存款、存放同业、大额存单等。按照约定利率在持有期内逐日计提应收利息，在利息到账日以实收利息入账。</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4、非上市基金</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理财产品投资的境内非货币市场基金，按所投资基金估值日的份额净值估值；境内货币市场基金，按所投资基金前一估值日后至估值日期间（含节假日）的万份收益计提估值日基金收益。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5、上市证券投资基金</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6、净值型资管产品</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净值型资管产品包括基金资管计划、信托计划等。理财产品投资的资产管理产品，按资产管理人提供的资管产品份额净值估值，净值频率以管理人发布为准。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7、衍生品</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对非上市交易的衍生品，且第三方估值机构（中证或中债）未提供估值价格的，采用估值技术确定其公允价值。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8、非标准化债权资产</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符合《关于规范金融机构资产管理业务的指导意见》中规定的可以使用摊余成本法计量的非标准化债权资产，可使用摊余成本法计量，其余采用公允价值法计量。</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9、其他</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lastRenderedPageBreak/>
        <w:t>各类资产具体估值方法的确认，可参考《企业会计准则》以及相关监管政策的规定。</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10、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11、在任何情况下，产品管理人与托管人所共同认可的估值方式均视为客观、公允的估值方法。该产品估值均以产品公布的估值结果为准。</w:t>
      </w:r>
    </w:p>
    <w:p w:rsidR="0070669C" w:rsidRPr="009A1C14" w:rsidRDefault="0070669C">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12、以上估值方法所涉及的资产类型仅为条款完备性而列举，不代表本产品实际投向该类型资产。本产品的投资范围以说明书“三、产品投资管理（一）投资范围”载明为准。</w:t>
      </w:r>
    </w:p>
    <w:p w:rsidR="00B16FFD" w:rsidRPr="009A1C14" w:rsidRDefault="00007F89">
      <w:pPr>
        <w:autoSpaceDE w:val="0"/>
        <w:autoSpaceDN w:val="0"/>
        <w:adjustRightInd w:val="0"/>
        <w:jc w:val="left"/>
        <w:rPr>
          <w:rFonts w:ascii="黑体" w:eastAsia="黑体" w:hAnsi="黑体" w:cs="ËÎÌå"/>
          <w:kern w:val="0"/>
          <w:szCs w:val="21"/>
        </w:rPr>
      </w:pPr>
      <w:r w:rsidRPr="009A1C14">
        <w:rPr>
          <w:rFonts w:ascii="黑体" w:eastAsia="黑体" w:hAnsi="黑体" w:cs="ËÎÌå" w:hint="eastAsia"/>
          <w:kern w:val="0"/>
          <w:szCs w:val="21"/>
        </w:rPr>
        <w:t>（五）估值错误的处理</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w:t>
      </w:r>
      <w:r w:rsidRPr="009A1C14">
        <w:rPr>
          <w:rFonts w:ascii="黑体" w:eastAsia="黑体" w:hAnsi="黑体" w:cs="黑体"/>
          <w:kern w:val="0"/>
          <w:szCs w:val="21"/>
        </w:rPr>
        <w:t>管理人</w:t>
      </w:r>
      <w:r w:rsidRPr="009A1C14">
        <w:rPr>
          <w:rFonts w:ascii="黑体" w:eastAsia="黑体" w:hAnsi="黑体" w:cs="黑体" w:hint="eastAsia"/>
          <w:kern w:val="0"/>
          <w:szCs w:val="21"/>
        </w:rPr>
        <w:t>和托管机构将采取必要、适当合理的措施确保产品资产估值的准确性、及时性。当产品单位净值出现错误时，产品</w:t>
      </w:r>
      <w:r w:rsidRPr="009A1C14">
        <w:rPr>
          <w:rFonts w:ascii="黑体" w:eastAsia="黑体" w:hAnsi="黑体" w:cs="黑体"/>
          <w:kern w:val="0"/>
          <w:szCs w:val="21"/>
        </w:rPr>
        <w:t>管理人</w:t>
      </w:r>
      <w:r w:rsidRPr="009A1C14">
        <w:rPr>
          <w:rFonts w:ascii="黑体" w:eastAsia="黑体" w:hAnsi="黑体" w:cs="黑体" w:hint="eastAsia"/>
          <w:kern w:val="0"/>
          <w:szCs w:val="21"/>
        </w:rPr>
        <w:t>应当立即予以纠正，并采取合理的措施防止损失进一步扩大。由于本产品估值所用的价格来源出现错误，或由于其它不可抗力原因，产品</w:t>
      </w:r>
      <w:r w:rsidRPr="009A1C14">
        <w:rPr>
          <w:rFonts w:ascii="黑体" w:eastAsia="黑体" w:hAnsi="黑体" w:cs="黑体"/>
          <w:kern w:val="0"/>
          <w:szCs w:val="21"/>
        </w:rPr>
        <w:t>管理人</w:t>
      </w:r>
      <w:r w:rsidRPr="009A1C14">
        <w:rPr>
          <w:rFonts w:ascii="黑体" w:eastAsia="黑体" w:hAnsi="黑体" w:cs="黑体" w:hint="eastAsia"/>
          <w:kern w:val="0"/>
          <w:szCs w:val="21"/>
        </w:rPr>
        <w:t>和托管机构虽然已经采取必要、适当、合理的措施进行检查，但是未能发现该错误的，由此造成的产品资产估值错误，产品</w:t>
      </w:r>
      <w:r w:rsidRPr="009A1C14">
        <w:rPr>
          <w:rFonts w:ascii="黑体" w:eastAsia="黑体" w:hAnsi="黑体" w:cs="黑体"/>
          <w:kern w:val="0"/>
          <w:szCs w:val="21"/>
        </w:rPr>
        <w:t>管理人</w:t>
      </w:r>
      <w:r w:rsidRPr="009A1C14">
        <w:rPr>
          <w:rFonts w:ascii="黑体" w:eastAsia="黑体" w:hAnsi="黑体" w:cs="黑体" w:hint="eastAsia"/>
          <w:kern w:val="0"/>
          <w:szCs w:val="21"/>
        </w:rPr>
        <w:t>和托管机构不承担责任。但产品</w:t>
      </w:r>
      <w:r w:rsidRPr="009A1C14">
        <w:rPr>
          <w:rFonts w:ascii="黑体" w:eastAsia="黑体" w:hAnsi="黑体" w:cs="黑体"/>
          <w:kern w:val="0"/>
          <w:szCs w:val="21"/>
        </w:rPr>
        <w:t>管理人</w:t>
      </w:r>
      <w:r w:rsidRPr="009A1C14">
        <w:rPr>
          <w:rFonts w:ascii="黑体" w:eastAsia="黑体" w:hAnsi="黑体" w:cs="黑体" w:hint="eastAsia"/>
          <w:kern w:val="0"/>
          <w:szCs w:val="21"/>
        </w:rPr>
        <w:t>和托管机构应当积极采取必要的措施消除或减轻由此造成的影响。</w:t>
      </w:r>
    </w:p>
    <w:p w:rsidR="00B16FFD" w:rsidRPr="009A1C14" w:rsidRDefault="00007F89">
      <w:pPr>
        <w:autoSpaceDE w:val="0"/>
        <w:autoSpaceDN w:val="0"/>
        <w:adjustRightInd w:val="0"/>
        <w:jc w:val="left"/>
        <w:rPr>
          <w:rFonts w:ascii="黑体" w:eastAsia="黑体" w:hAnsi="黑体" w:cs="ËÎÌå"/>
          <w:kern w:val="0"/>
          <w:szCs w:val="21"/>
        </w:rPr>
      </w:pPr>
      <w:r w:rsidRPr="009A1C14">
        <w:rPr>
          <w:rFonts w:ascii="黑体" w:eastAsia="黑体" w:hAnsi="黑体" w:cs="ËÎÌå" w:hint="eastAsia"/>
          <w:kern w:val="0"/>
          <w:szCs w:val="21"/>
        </w:rPr>
        <w:t>（六）暂停估值</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当本产品资产的估值因不可抗力或其它情形致使产品</w:t>
      </w:r>
      <w:r w:rsidRPr="009A1C14">
        <w:rPr>
          <w:rFonts w:ascii="黑体" w:eastAsia="黑体" w:hAnsi="黑体" w:cs="黑体"/>
          <w:kern w:val="0"/>
          <w:szCs w:val="21"/>
        </w:rPr>
        <w:t>管理人</w:t>
      </w:r>
      <w:r w:rsidRPr="009A1C14">
        <w:rPr>
          <w:rFonts w:ascii="黑体" w:eastAsia="黑体" w:hAnsi="黑体" w:cs="黑体" w:hint="eastAsia"/>
          <w:kern w:val="0"/>
          <w:szCs w:val="21"/>
        </w:rPr>
        <w:t>、托管机构无法准确评估产品资产价值的，当本产品在前一估值日内，产品资产净值</w:t>
      </w:r>
      <w:r w:rsidRPr="009A1C14">
        <w:rPr>
          <w:rFonts w:ascii="黑体" w:eastAsia="黑体" w:hAnsi="黑体" w:cs="黑体"/>
          <w:kern w:val="0"/>
          <w:szCs w:val="21"/>
        </w:rPr>
        <w:t>50%以上的资产不具备活跃交易市场或者在活跃市场中无报价，且不能采用估值技术可靠计量公允价值</w:t>
      </w:r>
      <w:r w:rsidRPr="009A1C14">
        <w:rPr>
          <w:rFonts w:ascii="黑体" w:eastAsia="黑体" w:hAnsi="黑体" w:cs="黑体" w:hint="eastAsia"/>
          <w:kern w:val="0"/>
          <w:szCs w:val="21"/>
        </w:rPr>
        <w:t>的，或当本产品存在</w:t>
      </w:r>
      <w:r w:rsidR="00E03532" w:rsidRPr="009A1C14">
        <w:rPr>
          <w:rFonts w:ascii="黑体" w:eastAsia="黑体" w:hAnsi="黑体" w:cs="黑体" w:hint="eastAsia"/>
          <w:kern w:val="0"/>
          <w:szCs w:val="21"/>
        </w:rPr>
        <w:t>国家金融监督管理总局</w:t>
      </w:r>
      <w:r w:rsidRPr="009A1C14">
        <w:rPr>
          <w:rFonts w:ascii="黑体" w:eastAsia="黑体" w:hAnsi="黑体" w:cs="黑体" w:hint="eastAsia"/>
          <w:kern w:val="0"/>
          <w:szCs w:val="21"/>
        </w:rPr>
        <w:t>认定的导致无法准确估值的其它情形的，产品</w:t>
      </w:r>
      <w:r w:rsidRPr="009A1C14">
        <w:rPr>
          <w:rFonts w:ascii="黑体" w:eastAsia="黑体" w:hAnsi="黑体" w:cs="黑体"/>
          <w:kern w:val="0"/>
          <w:szCs w:val="21"/>
        </w:rPr>
        <w:t>管理人</w:t>
      </w:r>
      <w:r w:rsidRPr="009A1C14">
        <w:rPr>
          <w:rFonts w:ascii="黑体" w:eastAsia="黑体" w:hAnsi="黑体" w:cs="黑体" w:hint="eastAsia"/>
          <w:kern w:val="0"/>
          <w:szCs w:val="21"/>
        </w:rPr>
        <w:t>可暂停产品的估值直至另行通知，并采取延缓支付赎回款项或暂停接受理财产品认购、赎回申请等措施，同时在</w:t>
      </w:r>
      <w:r w:rsidRPr="009A1C14">
        <w:rPr>
          <w:rFonts w:ascii="黑体" w:eastAsia="黑体" w:hAnsi="黑体" w:cs="黑体"/>
          <w:kern w:val="0"/>
          <w:szCs w:val="21"/>
        </w:rPr>
        <w:t>3个工作日内告知本产品的投资者，并说明运用相关措施的原因、拟采取的应对安排等。</w:t>
      </w:r>
      <w:r w:rsidRPr="009A1C14">
        <w:rPr>
          <w:rFonts w:ascii="黑体" w:eastAsia="黑体" w:hAnsi="黑体" w:cs="黑体" w:hint="eastAsia"/>
          <w:kern w:val="0"/>
          <w:szCs w:val="21"/>
        </w:rPr>
        <w:t>由此造成的损失，产品</w:t>
      </w:r>
      <w:r w:rsidRPr="009A1C14">
        <w:rPr>
          <w:rFonts w:ascii="黑体" w:eastAsia="黑体" w:hAnsi="黑体" w:cs="黑体"/>
          <w:kern w:val="0"/>
          <w:szCs w:val="21"/>
        </w:rPr>
        <w:t>管理人</w:t>
      </w:r>
      <w:r w:rsidRPr="009A1C14">
        <w:rPr>
          <w:rFonts w:ascii="黑体" w:eastAsia="黑体" w:hAnsi="黑体" w:cs="黑体" w:hint="eastAsia"/>
          <w:kern w:val="0"/>
          <w:szCs w:val="21"/>
        </w:rPr>
        <w:t>和托管机构不承担责任。</w:t>
      </w:r>
    </w:p>
    <w:p w:rsidR="00B16FFD" w:rsidRPr="009A1C14" w:rsidRDefault="00B16FFD">
      <w:pPr>
        <w:autoSpaceDE w:val="0"/>
        <w:autoSpaceDN w:val="0"/>
        <w:adjustRightInd w:val="0"/>
        <w:ind w:firstLineChars="236" w:firstLine="496"/>
        <w:jc w:val="left"/>
        <w:rPr>
          <w:rFonts w:ascii="黑体" w:eastAsia="黑体" w:hAnsi="黑体" w:cs="ËÎÌå"/>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六、产品费用、收益及税收说明</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（一）产品费用计提方法、计提标准和支付方式</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本产品收取的费用包括固定管理费、</w:t>
      </w:r>
      <w:r w:rsidR="00C478C6" w:rsidRPr="009A1C14">
        <w:rPr>
          <w:rFonts w:ascii="黑体" w:eastAsia="黑体" w:hAnsi="黑体" w:cs="黑体" w:hint="eastAsia"/>
          <w:b/>
          <w:kern w:val="0"/>
          <w:szCs w:val="21"/>
        </w:rPr>
        <w:t>托管费、</w:t>
      </w:r>
      <w:r w:rsidRPr="009A1C14">
        <w:rPr>
          <w:rFonts w:ascii="黑体" w:eastAsia="黑体" w:hAnsi="黑体" w:cs="黑体" w:hint="eastAsia"/>
          <w:b/>
          <w:kern w:val="0"/>
          <w:szCs w:val="21"/>
        </w:rPr>
        <w:t>强制赎回费（若有）等</w:t>
      </w:r>
      <w:r w:rsidRPr="009A1C14">
        <w:rPr>
          <w:rFonts w:ascii="黑体" w:eastAsia="黑体" w:hAnsi="黑体" w:cs="黑体"/>
          <w:b/>
          <w:kern w:val="0"/>
          <w:szCs w:val="21"/>
        </w:rPr>
        <w:t>，具体计提方法、计提标准和支付方式如下：</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1</w:t>
      </w:r>
      <w:r w:rsidRPr="009A1C14">
        <w:rPr>
          <w:rFonts w:ascii="黑体" w:eastAsia="黑体" w:hAnsi="黑体" w:cs="黑体" w:hint="eastAsia"/>
          <w:b/>
          <w:kern w:val="0"/>
          <w:szCs w:val="21"/>
        </w:rPr>
        <w:t>、销售服务费：本产品销售服务费按</w:t>
      </w:r>
      <w:r w:rsidRPr="009A1C14">
        <w:rPr>
          <w:rFonts w:ascii="黑体" w:eastAsia="黑体" w:hAnsi="黑体" w:cs="黑体"/>
          <w:b/>
          <w:kern w:val="0"/>
          <w:szCs w:val="21"/>
          <w:u w:val="single"/>
        </w:rPr>
        <w:t xml:space="preserve">        /       </w:t>
      </w:r>
      <w:r w:rsidRPr="009A1C14">
        <w:rPr>
          <w:rFonts w:ascii="黑体" w:eastAsia="黑体" w:hAnsi="黑体" w:cs="黑体" w:hint="eastAsia"/>
          <w:b/>
          <w:kern w:val="0"/>
          <w:szCs w:val="21"/>
        </w:rPr>
        <w:t>计提。计算方法如下：</w:t>
      </w:r>
    </w:p>
    <w:p w:rsidR="00B16FFD" w:rsidRPr="009A1C14" w:rsidRDefault="00007F89">
      <w:pPr>
        <w:autoSpaceDE w:val="0"/>
        <w:autoSpaceDN w:val="0"/>
        <w:adjustRightInd w:val="0"/>
        <w:ind w:firstLine="420"/>
        <w:jc w:val="left"/>
        <w:rPr>
          <w:rFonts w:ascii="黑体" w:eastAsia="黑体" w:hAnsi="黑体" w:cs="黑体"/>
          <w:b/>
          <w:kern w:val="0"/>
          <w:szCs w:val="21"/>
        </w:rPr>
      </w:pPr>
      <w:r w:rsidRPr="009A1C14">
        <w:rPr>
          <w:rFonts w:ascii="黑体" w:eastAsia="黑体" w:hAnsi="黑体" w:cs="黑体" w:hint="eastAsia"/>
          <w:b/>
          <w:kern w:val="0"/>
          <w:szCs w:val="21"/>
        </w:rPr>
        <w:t>本产品无销售服务费。</w:t>
      </w:r>
    </w:p>
    <w:p w:rsidR="00B16FFD" w:rsidRPr="009A1C14" w:rsidRDefault="00B16FFD">
      <w:pPr>
        <w:autoSpaceDE w:val="0"/>
        <w:autoSpaceDN w:val="0"/>
        <w:adjustRightInd w:val="0"/>
        <w:ind w:firstLineChars="200" w:firstLine="422"/>
        <w:jc w:val="left"/>
        <w:rPr>
          <w:rFonts w:ascii="黑体" w:eastAsia="黑体" w:hAnsi="黑体" w:cs="黑体"/>
          <w:b/>
          <w:kern w:val="0"/>
          <w:szCs w:val="21"/>
        </w:rPr>
      </w:pP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2</w:t>
      </w:r>
      <w:r w:rsidRPr="009A1C14">
        <w:rPr>
          <w:rFonts w:ascii="黑体" w:eastAsia="黑体" w:hAnsi="黑体" w:cs="黑体" w:hint="eastAsia"/>
          <w:b/>
          <w:kern w:val="0"/>
          <w:szCs w:val="21"/>
        </w:rPr>
        <w:t>、固定管理费：本产品固定管理费</w:t>
      </w:r>
      <w:r w:rsidR="0025035D" w:rsidRPr="009A1C14">
        <w:rPr>
          <w:rFonts w:ascii="黑体" w:eastAsia="黑体" w:hAnsi="黑体" w:cs="黑体" w:hint="eastAsia"/>
          <w:b/>
          <w:kern w:val="0"/>
          <w:szCs w:val="21"/>
        </w:rPr>
        <w:t>按当日产品存续总份额的</w:t>
      </w:r>
      <w:r w:rsidRPr="009A1C14">
        <w:rPr>
          <w:rFonts w:ascii="黑体" w:eastAsia="黑体" w:hAnsi="黑体" w:cs="黑体" w:hint="eastAsia"/>
          <w:b/>
          <w:kern w:val="0"/>
          <w:szCs w:val="21"/>
        </w:rPr>
        <w:t>0.40%</w:t>
      </w:r>
      <w:r w:rsidR="0025035D" w:rsidRPr="009A1C14">
        <w:rPr>
          <w:rFonts w:ascii="黑体" w:eastAsia="黑体" w:hAnsi="黑体" w:cs="黑体" w:hint="eastAsia"/>
          <w:b/>
          <w:kern w:val="0"/>
          <w:szCs w:val="21"/>
        </w:rPr>
        <w:t>年费率</w:t>
      </w:r>
      <w:r w:rsidRPr="009A1C14">
        <w:rPr>
          <w:rFonts w:ascii="黑体" w:eastAsia="黑体" w:hAnsi="黑体" w:cs="黑体"/>
          <w:b/>
          <w:kern w:val="0"/>
          <w:szCs w:val="21"/>
        </w:rPr>
        <w:t>(</w:t>
      </w:r>
      <w:r w:rsidRPr="009A1C14">
        <w:rPr>
          <w:rFonts w:ascii="黑体" w:eastAsia="黑体" w:hAnsi="黑体" w:cs="黑体" w:hint="eastAsia"/>
          <w:b/>
          <w:kern w:val="0"/>
          <w:szCs w:val="21"/>
        </w:rPr>
        <w:t>适用于A、</w:t>
      </w:r>
      <w:r w:rsidRPr="009A1C14">
        <w:rPr>
          <w:rFonts w:ascii="黑体" w:eastAsia="黑体" w:hAnsi="黑体" w:cs="黑体"/>
          <w:b/>
          <w:kern w:val="0"/>
          <w:szCs w:val="21"/>
        </w:rPr>
        <w:t>B</w:t>
      </w:r>
      <w:r w:rsidR="00DB7437" w:rsidRPr="009A1C14">
        <w:rPr>
          <w:rFonts w:ascii="黑体" w:eastAsia="黑体" w:hAnsi="黑体" w:cs="黑体" w:hint="eastAsia"/>
          <w:b/>
          <w:kern w:val="0"/>
          <w:szCs w:val="21"/>
        </w:rPr>
        <w:t>、C</w:t>
      </w:r>
      <w:r w:rsidR="0066632E" w:rsidRPr="009A1C14">
        <w:rPr>
          <w:rFonts w:ascii="黑体" w:eastAsia="黑体" w:hAnsi="黑体" w:cs="黑体" w:hint="eastAsia"/>
          <w:b/>
          <w:kern w:val="0"/>
          <w:szCs w:val="21"/>
        </w:rPr>
        <w:t>、D</w:t>
      </w:r>
      <w:r w:rsidRPr="009A1C14">
        <w:rPr>
          <w:rFonts w:ascii="黑体" w:eastAsia="黑体" w:hAnsi="黑体" w:cs="黑体" w:hint="eastAsia"/>
          <w:b/>
          <w:kern w:val="0"/>
          <w:szCs w:val="21"/>
        </w:rPr>
        <w:t>份额）计提。计算方法如下：</w:t>
      </w:r>
    </w:p>
    <w:p w:rsidR="0025035D" w:rsidRPr="009A1C14" w:rsidRDefault="0025035D" w:rsidP="0025035D">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H=Y×固定管理费率（年化）÷365</w:t>
      </w:r>
    </w:p>
    <w:p w:rsidR="0025035D" w:rsidRPr="009A1C14" w:rsidRDefault="0025035D" w:rsidP="0025035D">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H为产品各份额每一自然日应计提的固定管理费</w:t>
      </w:r>
    </w:p>
    <w:p w:rsidR="0025035D" w:rsidRPr="009A1C14" w:rsidRDefault="0025035D" w:rsidP="0025035D">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Y为当日产品各</w:t>
      </w:r>
      <w:r w:rsidRPr="009A1C14">
        <w:rPr>
          <w:rFonts w:ascii="黑体" w:eastAsia="黑体" w:hAnsi="黑体" w:cs="黑体" w:hint="eastAsia"/>
          <w:b/>
          <w:kern w:val="0"/>
          <w:szCs w:val="21"/>
        </w:rPr>
        <w:t>份额存续总份额</w:t>
      </w:r>
    </w:p>
    <w:p w:rsidR="006E766C" w:rsidRPr="009A1C14" w:rsidRDefault="009566DF">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固定管理费每日计提，按季支付，或由管理人向托管人发送指令，托管人复核后从产品资产中支付。</w:t>
      </w:r>
    </w:p>
    <w:p w:rsidR="00B16FFD" w:rsidRPr="009A1C14" w:rsidRDefault="00B16FFD">
      <w:pPr>
        <w:autoSpaceDE w:val="0"/>
        <w:autoSpaceDN w:val="0"/>
        <w:adjustRightInd w:val="0"/>
        <w:ind w:firstLineChars="200" w:firstLine="422"/>
        <w:jc w:val="left"/>
        <w:rPr>
          <w:rFonts w:ascii="黑体" w:eastAsia="黑体" w:hAnsi="黑体" w:cs="黑体"/>
          <w:b/>
          <w:kern w:val="0"/>
          <w:szCs w:val="21"/>
        </w:rPr>
      </w:pP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3</w:t>
      </w:r>
      <w:r w:rsidRPr="009A1C14">
        <w:rPr>
          <w:rFonts w:ascii="黑体" w:eastAsia="黑体" w:hAnsi="黑体" w:cs="黑体" w:hint="eastAsia"/>
          <w:b/>
          <w:kern w:val="0"/>
          <w:szCs w:val="21"/>
        </w:rPr>
        <w:t>、浮动管理费：无</w:t>
      </w:r>
    </w:p>
    <w:p w:rsidR="00B16FFD" w:rsidRPr="009A1C14" w:rsidRDefault="00B16FFD">
      <w:pPr>
        <w:autoSpaceDE w:val="0"/>
        <w:autoSpaceDN w:val="0"/>
        <w:adjustRightInd w:val="0"/>
        <w:ind w:firstLineChars="200" w:firstLine="422"/>
        <w:jc w:val="left"/>
        <w:rPr>
          <w:rFonts w:ascii="黑体" w:eastAsia="黑体" w:hAnsi="黑体" w:cs="黑体"/>
          <w:b/>
          <w:kern w:val="0"/>
          <w:szCs w:val="21"/>
        </w:rPr>
      </w:pPr>
    </w:p>
    <w:p w:rsidR="00637F38" w:rsidRPr="009A1C14" w:rsidRDefault="00007F89" w:rsidP="00637F3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4</w:t>
      </w:r>
      <w:r w:rsidRPr="009A1C14">
        <w:rPr>
          <w:rFonts w:ascii="黑体" w:eastAsia="黑体" w:hAnsi="黑体" w:cs="黑体" w:hint="eastAsia"/>
          <w:b/>
          <w:kern w:val="0"/>
          <w:szCs w:val="21"/>
        </w:rPr>
        <w:t>、托管费：</w:t>
      </w:r>
      <w:r w:rsidR="00637F38" w:rsidRPr="009A1C14">
        <w:rPr>
          <w:rFonts w:ascii="黑体" w:eastAsia="黑体" w:hAnsi="黑体" w:cs="黑体" w:hint="eastAsia"/>
          <w:b/>
          <w:kern w:val="0"/>
          <w:szCs w:val="21"/>
        </w:rPr>
        <w:t>本产品托管费按当日产品存续总份额的0.</w:t>
      </w:r>
      <w:r w:rsidR="00637F38" w:rsidRPr="009A1C14">
        <w:rPr>
          <w:rFonts w:ascii="黑体" w:eastAsia="黑体" w:hAnsi="黑体" w:cs="黑体"/>
          <w:b/>
          <w:kern w:val="0"/>
          <w:szCs w:val="21"/>
        </w:rPr>
        <w:t>001</w:t>
      </w:r>
      <w:r w:rsidR="00637F38" w:rsidRPr="009A1C14">
        <w:rPr>
          <w:rFonts w:ascii="黑体" w:eastAsia="黑体" w:hAnsi="黑体" w:cs="黑体" w:hint="eastAsia"/>
          <w:b/>
          <w:kern w:val="0"/>
          <w:szCs w:val="21"/>
        </w:rPr>
        <w:t>%年费率（适用于A、B</w:t>
      </w:r>
      <w:r w:rsidR="00DB7437" w:rsidRPr="009A1C14">
        <w:rPr>
          <w:rFonts w:ascii="黑体" w:eastAsia="黑体" w:hAnsi="黑体" w:cs="黑体" w:hint="eastAsia"/>
          <w:b/>
          <w:kern w:val="0"/>
          <w:szCs w:val="21"/>
        </w:rPr>
        <w:t>、C</w:t>
      </w:r>
      <w:r w:rsidR="0066632E" w:rsidRPr="009A1C14">
        <w:rPr>
          <w:rFonts w:ascii="黑体" w:eastAsia="黑体" w:hAnsi="黑体" w:cs="黑体" w:hint="eastAsia"/>
          <w:b/>
          <w:kern w:val="0"/>
          <w:szCs w:val="21"/>
        </w:rPr>
        <w:t>、D</w:t>
      </w:r>
      <w:r w:rsidR="00637F38" w:rsidRPr="009A1C14">
        <w:rPr>
          <w:rFonts w:ascii="黑体" w:eastAsia="黑体" w:hAnsi="黑体" w:cs="黑体" w:hint="eastAsia"/>
          <w:b/>
          <w:kern w:val="0"/>
          <w:szCs w:val="21"/>
        </w:rPr>
        <w:t>份额）计提。计算方法如下：</w:t>
      </w:r>
    </w:p>
    <w:p w:rsidR="00637F38" w:rsidRPr="009A1C14" w:rsidRDefault="00637F38" w:rsidP="00637F3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lastRenderedPageBreak/>
        <w:t>T=Y×</w:t>
      </w:r>
      <w:r w:rsidRPr="009A1C14">
        <w:rPr>
          <w:rFonts w:ascii="黑体" w:eastAsia="黑体" w:hAnsi="黑体" w:cs="黑体" w:hint="eastAsia"/>
          <w:b/>
          <w:kern w:val="0"/>
          <w:szCs w:val="21"/>
        </w:rPr>
        <w:t>托管</w:t>
      </w:r>
      <w:r w:rsidRPr="009A1C14">
        <w:rPr>
          <w:rFonts w:ascii="黑体" w:eastAsia="黑体" w:hAnsi="黑体" w:cs="黑体"/>
          <w:b/>
          <w:kern w:val="0"/>
          <w:szCs w:val="21"/>
        </w:rPr>
        <w:t>费率（年化）÷365</w:t>
      </w:r>
    </w:p>
    <w:p w:rsidR="00637F38" w:rsidRPr="009A1C14" w:rsidRDefault="00637F38" w:rsidP="00637F3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T为产品各份额每一自然日应计提的</w:t>
      </w:r>
      <w:r w:rsidRPr="009A1C14">
        <w:rPr>
          <w:rFonts w:ascii="黑体" w:eastAsia="黑体" w:hAnsi="黑体" w:cs="黑体" w:hint="eastAsia"/>
          <w:b/>
          <w:kern w:val="0"/>
          <w:szCs w:val="21"/>
        </w:rPr>
        <w:t>产品托管</w:t>
      </w:r>
      <w:r w:rsidRPr="009A1C14">
        <w:rPr>
          <w:rFonts w:ascii="黑体" w:eastAsia="黑体" w:hAnsi="黑体" w:cs="黑体"/>
          <w:b/>
          <w:kern w:val="0"/>
          <w:szCs w:val="21"/>
        </w:rPr>
        <w:t>费</w:t>
      </w:r>
    </w:p>
    <w:p w:rsidR="00637F38" w:rsidRPr="009A1C14" w:rsidRDefault="00637F38" w:rsidP="00637F3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Y为当日产品各份额存续总份额</w:t>
      </w:r>
    </w:p>
    <w:p w:rsidR="00B16FFD" w:rsidRPr="009A1C14" w:rsidRDefault="00333A43" w:rsidP="00637F38">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托管费每日计提，按季支付，或由管理人向托管人发送指令，托管人复核后从产品资产中支付。</w:t>
      </w:r>
    </w:p>
    <w:p w:rsidR="00B16FFD" w:rsidRPr="009A1C14" w:rsidRDefault="00B16FFD">
      <w:pPr>
        <w:autoSpaceDE w:val="0"/>
        <w:autoSpaceDN w:val="0"/>
        <w:adjustRightInd w:val="0"/>
        <w:ind w:firstLineChars="200" w:firstLine="422"/>
        <w:jc w:val="left"/>
        <w:rPr>
          <w:rFonts w:ascii="黑体" w:eastAsia="黑体" w:hAnsi="黑体" w:cs="黑体"/>
          <w:b/>
          <w:kern w:val="0"/>
          <w:szCs w:val="21"/>
        </w:rPr>
      </w:pP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5</w:t>
      </w:r>
      <w:r w:rsidRPr="009A1C14">
        <w:rPr>
          <w:rFonts w:ascii="黑体" w:eastAsia="黑体" w:hAnsi="黑体" w:cs="黑体" w:hint="eastAsia"/>
          <w:b/>
          <w:kern w:val="0"/>
          <w:szCs w:val="21"/>
        </w:rPr>
        <w:t>、手续费</w:t>
      </w:r>
      <w:r w:rsidRPr="009A1C14">
        <w:rPr>
          <w:rFonts w:ascii="黑体" w:eastAsia="黑体" w:hAnsi="黑体" w:cs="黑体"/>
          <w:b/>
          <w:kern w:val="0"/>
          <w:szCs w:val="21"/>
        </w:rPr>
        <w:t>：</w:t>
      </w:r>
      <w:bookmarkStart w:id="1" w:name="_Hlk33107492"/>
      <w:r w:rsidRPr="009A1C14">
        <w:rPr>
          <w:rFonts w:ascii="黑体" w:eastAsia="黑体" w:hAnsi="黑体" w:cs="黑体" w:hint="eastAsia"/>
          <w:b/>
          <w:kern w:val="0"/>
          <w:szCs w:val="21"/>
        </w:rPr>
        <w:t>无</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6</w:t>
      </w:r>
      <w:r w:rsidRPr="009A1C14">
        <w:rPr>
          <w:rFonts w:ascii="黑体" w:eastAsia="黑体" w:hAnsi="黑体" w:cs="黑体" w:hint="eastAsia"/>
          <w:b/>
          <w:kern w:val="0"/>
          <w:szCs w:val="21"/>
        </w:rPr>
        <w:t>、</w:t>
      </w:r>
      <w:bookmarkStart w:id="2" w:name="_Hlk33053751"/>
      <w:r w:rsidRPr="009A1C14">
        <w:rPr>
          <w:rFonts w:ascii="黑体" w:eastAsia="黑体" w:hAnsi="黑体" w:cs="黑体" w:hint="eastAsia"/>
          <w:b/>
          <w:kern w:val="0"/>
          <w:szCs w:val="21"/>
        </w:rPr>
        <w:t>强制赎回费：</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本产品将在以下两种情况下，收取强制赎回费用，并在赎回时将上述费用直接从兑付资金中扣除。</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1）在满足相关流动性风险管理要求的前提下，当本产品持有的现金、国债、中央银行票据、政策性金融债券以及5个交易日内到期的其他金融工具占产品资产净值的比例合计低于5%且偏离度为负时，产品管理人将对当日单个产品投资者申请赎回份额超过本产品总份额1%以上的赎回申请征收1%的强制赎回费用，并将上述赎回费用全额计入产品财产。产品管理人与托管机构协商确认上述做法无益于本产品利益最大化的情形除外。</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2）本产品前10名投资者的持有份额合计超过该产品总份额50%的，当投资组合中现金、国债、中央银行票据、政策性金融债券以及5个交易日内到期的其他金融工具占该产品资产净值的比例合计低于10%且偏离度为负时，产品管理人将对投资者超过该产品总份额1%以上的赎回申请征收1%的强制赎回费用。</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计算方法如下：</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强制赎回费=（当日单个投资者申请赎回份额-本产品上一工作日总份额*1%）*本产品当日单位净值*强制赎回费费率</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7、其他费用：无</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8、</w:t>
      </w:r>
      <w:r w:rsidRPr="009A1C14">
        <w:rPr>
          <w:rFonts w:ascii="黑体" w:eastAsia="黑体" w:hAnsi="黑体" w:cs="黑体" w:hint="eastAsia"/>
          <w:b/>
          <w:kern w:val="0"/>
          <w:szCs w:val="21"/>
        </w:rPr>
        <w:t>产品运作和清算中产生的其他费用，包括但不限于资金汇划费、结算费、交易手续费、注册登记费、信息披露费、账户服务费、审计费、律师费等费用，按照实际发生情况从产品中列支。</w:t>
      </w:r>
      <w:bookmarkEnd w:id="2"/>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9</w:t>
      </w:r>
      <w:r w:rsidRPr="009A1C14">
        <w:rPr>
          <w:rFonts w:ascii="黑体" w:eastAsia="黑体" w:hAnsi="黑体" w:cs="黑体" w:hint="eastAsia"/>
          <w:kern w:val="0"/>
          <w:szCs w:val="21"/>
        </w:rPr>
        <w:t>、上述费用将按相关</w:t>
      </w:r>
      <w:r w:rsidRPr="009A1C14">
        <w:rPr>
          <w:rFonts w:ascii="黑体" w:eastAsia="黑体" w:hAnsi="黑体" w:cs="黑体"/>
          <w:kern w:val="0"/>
          <w:szCs w:val="21"/>
        </w:rPr>
        <w:t>合同</w:t>
      </w:r>
      <w:r w:rsidRPr="009A1C14">
        <w:rPr>
          <w:rFonts w:ascii="黑体" w:eastAsia="黑体" w:hAnsi="黑体" w:cs="黑体" w:hint="eastAsia"/>
          <w:kern w:val="0"/>
          <w:szCs w:val="21"/>
        </w:rPr>
        <w:t>约定的时间和方式支付给收款方。</w:t>
      </w:r>
    </w:p>
    <w:bookmarkEnd w:id="1"/>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10</w:t>
      </w:r>
      <w:r w:rsidRPr="009A1C14">
        <w:rPr>
          <w:rFonts w:ascii="黑体" w:eastAsia="黑体" w:hAnsi="黑体" w:cs="黑体" w:hint="eastAsia"/>
          <w:b/>
          <w:kern w:val="0"/>
          <w:szCs w:val="21"/>
        </w:rPr>
        <w:t>、产品管理人有权根据市场情况等调整上述各项收费项目、收费条件、收费标准和收费方式，并至少于调整日之前3个工作日进行公告。上述情况下产品</w:t>
      </w:r>
      <w:r w:rsidRPr="009A1C14">
        <w:rPr>
          <w:rFonts w:ascii="黑体" w:eastAsia="黑体" w:hAnsi="黑体" w:cs="黑体"/>
          <w:b/>
          <w:kern w:val="0"/>
          <w:szCs w:val="21"/>
        </w:rPr>
        <w:t>管理人</w:t>
      </w:r>
      <w:r w:rsidRPr="009A1C14">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（二）</w:t>
      </w:r>
      <w:bookmarkStart w:id="3" w:name="_Hlk33085424"/>
      <w:r w:rsidRPr="009A1C14">
        <w:rPr>
          <w:rFonts w:ascii="黑体" w:eastAsia="黑体" w:hAnsi="黑体" w:cs="宋体" w:hint="eastAsia"/>
          <w:kern w:val="0"/>
          <w:szCs w:val="21"/>
        </w:rPr>
        <w:t>产品收益分配</w:t>
      </w:r>
      <w:bookmarkEnd w:id="3"/>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1、本产品每份产品份额享有同等分配权。</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2、本产品收益分配方式为每日分配、按日结转。本理财产品根据每日产品收益情况，以每万份产品净收益为基准，每日为投资者计算上一日收益并分配，且每日进行结转。</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3、投资者自认购/申购份额确认当日开始享有产品的收益分配权益；自赎回确认当日开始不再享有产品的收益分配权益。</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4</w:t>
      </w:r>
      <w:r w:rsidRPr="009A1C14">
        <w:rPr>
          <w:rFonts w:ascii="黑体" w:eastAsia="黑体" w:hAnsi="黑体" w:cs="宋体" w:hint="eastAsia"/>
          <w:kern w:val="0"/>
          <w:szCs w:val="21"/>
        </w:rPr>
        <w:t>、计算示例：</w:t>
      </w:r>
    </w:p>
    <w:p w:rsidR="00B16FFD" w:rsidRPr="009A1C14" w:rsidRDefault="00007F89">
      <w:pPr>
        <w:autoSpaceDE w:val="0"/>
        <w:autoSpaceDN w:val="0"/>
        <w:adjustRightInd w:val="0"/>
        <w:ind w:firstLineChars="200" w:firstLine="420"/>
        <w:jc w:val="left"/>
        <w:rPr>
          <w:rFonts w:ascii="黑体" w:eastAsia="黑体" w:hAnsi="黑体" w:cs="黑体"/>
          <w:color w:val="000000" w:themeColor="text1"/>
          <w:kern w:val="0"/>
          <w:szCs w:val="21"/>
        </w:rPr>
      </w:pPr>
      <w:r w:rsidRPr="009A1C14">
        <w:rPr>
          <w:rFonts w:ascii="黑体" w:eastAsia="黑体" w:hAnsi="黑体" w:cs="黑体" w:hint="eastAsia"/>
          <w:color w:val="000000" w:themeColor="text1"/>
          <w:kern w:val="0"/>
          <w:szCs w:val="21"/>
        </w:rPr>
        <w:t>示例</w:t>
      </w:r>
      <w:r w:rsidRPr="009A1C14">
        <w:rPr>
          <w:rFonts w:ascii="黑体" w:eastAsia="黑体" w:hAnsi="黑体" w:cs="黑体"/>
          <w:color w:val="000000" w:themeColor="text1"/>
          <w:kern w:val="0"/>
          <w:szCs w:val="21"/>
        </w:rPr>
        <w:t>1</w:t>
      </w:r>
      <w:r w:rsidRPr="009A1C14">
        <w:rPr>
          <w:rFonts w:ascii="黑体" w:eastAsia="黑体" w:hAnsi="黑体" w:cs="黑体" w:hint="eastAsia"/>
          <w:color w:val="000000" w:themeColor="text1"/>
          <w:kern w:val="0"/>
          <w:szCs w:val="21"/>
        </w:rPr>
        <w:t>：假设投资者于募集期</w:t>
      </w:r>
      <w:r w:rsidRPr="009A1C14">
        <w:rPr>
          <w:rFonts w:ascii="黑体" w:eastAsia="黑体" w:hAnsi="黑体" w:cs="黑体"/>
          <w:color w:val="000000" w:themeColor="text1"/>
          <w:kern w:val="0"/>
          <w:szCs w:val="21"/>
        </w:rPr>
        <w:t>/</w:t>
      </w:r>
      <w:r w:rsidRPr="009A1C14">
        <w:rPr>
          <w:rFonts w:ascii="黑体" w:eastAsia="黑体" w:hAnsi="黑体" w:cs="黑体" w:hint="eastAsia"/>
          <w:color w:val="000000" w:themeColor="text1"/>
          <w:kern w:val="0"/>
          <w:szCs w:val="21"/>
        </w:rPr>
        <w:t>产品存续期认购</w:t>
      </w:r>
      <w:r w:rsidRPr="009A1C14">
        <w:rPr>
          <w:rFonts w:ascii="黑体" w:eastAsia="黑体" w:hAnsi="黑体" w:cs="黑体"/>
          <w:color w:val="000000" w:themeColor="text1"/>
          <w:kern w:val="0"/>
          <w:szCs w:val="21"/>
        </w:rPr>
        <w:t>/</w:t>
      </w:r>
      <w:r w:rsidRPr="009A1C14">
        <w:rPr>
          <w:rFonts w:ascii="黑体" w:eastAsia="黑体" w:hAnsi="黑体" w:cs="黑体" w:hint="eastAsia"/>
          <w:color w:val="000000" w:themeColor="text1"/>
          <w:kern w:val="0"/>
          <w:szCs w:val="21"/>
        </w:rPr>
        <w:t>申购，本金为</w:t>
      </w:r>
      <w:r w:rsidRPr="009A1C14">
        <w:rPr>
          <w:rFonts w:ascii="黑体" w:eastAsia="黑体" w:hAnsi="黑体" w:cs="黑体"/>
          <w:color w:val="000000" w:themeColor="text1"/>
          <w:kern w:val="0"/>
          <w:szCs w:val="21"/>
        </w:rPr>
        <w:t>50000</w:t>
      </w:r>
      <w:r w:rsidRPr="009A1C14">
        <w:rPr>
          <w:rFonts w:ascii="黑体" w:eastAsia="黑体" w:hAnsi="黑体" w:cs="黑体" w:hint="eastAsia"/>
          <w:color w:val="000000" w:themeColor="text1"/>
          <w:kern w:val="0"/>
          <w:szCs w:val="21"/>
        </w:rPr>
        <w:t>元，则投资者持有份额为</w:t>
      </w:r>
      <w:r w:rsidRPr="009A1C14">
        <w:rPr>
          <w:rFonts w:ascii="黑体" w:eastAsia="黑体" w:hAnsi="黑体" w:cs="黑体"/>
          <w:color w:val="000000" w:themeColor="text1"/>
          <w:kern w:val="0"/>
          <w:szCs w:val="21"/>
        </w:rPr>
        <w:t>50000</w:t>
      </w:r>
      <w:r w:rsidRPr="009A1C14">
        <w:rPr>
          <w:rFonts w:ascii="黑体" w:eastAsia="黑体" w:hAnsi="黑体" w:cs="黑体" w:hint="eastAsia"/>
          <w:color w:val="000000" w:themeColor="text1"/>
          <w:kern w:val="0"/>
          <w:szCs w:val="21"/>
        </w:rPr>
        <w:t>份。假设投资者持有期内，每日红利再投，计划全部赎回时持有份额为</w:t>
      </w:r>
      <w:r w:rsidRPr="009A1C14">
        <w:rPr>
          <w:rFonts w:ascii="黑体" w:eastAsia="黑体" w:hAnsi="黑体" w:cs="黑体"/>
          <w:color w:val="000000" w:themeColor="text1"/>
          <w:kern w:val="0"/>
          <w:szCs w:val="21"/>
        </w:rPr>
        <w:t>51000份，</w:t>
      </w:r>
      <w:r w:rsidRPr="009A1C14">
        <w:rPr>
          <w:rFonts w:ascii="黑体" w:eastAsia="黑体" w:hAnsi="黑体" w:cs="黑体" w:hint="eastAsia"/>
          <w:color w:val="000000" w:themeColor="text1"/>
          <w:kern w:val="0"/>
          <w:szCs w:val="21"/>
        </w:rPr>
        <w:t>且投资者赎回份额不收取强制赎回费，</w:t>
      </w:r>
      <w:r w:rsidRPr="009A1C14">
        <w:rPr>
          <w:rFonts w:ascii="黑体" w:eastAsia="黑体" w:hAnsi="黑体" w:cs="黑体"/>
          <w:color w:val="000000" w:themeColor="text1"/>
          <w:kern w:val="0"/>
          <w:szCs w:val="21"/>
        </w:rPr>
        <w:t>则赎回金额为51000元。</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上述示例采用假设数据计算，测算收益不等于实际收益，投资需谨慎。</w:t>
      </w:r>
    </w:p>
    <w:p w:rsidR="00B16FFD" w:rsidRPr="009A1C14" w:rsidRDefault="00007F89">
      <w:pPr>
        <w:autoSpaceDE w:val="0"/>
        <w:autoSpaceDN w:val="0"/>
        <w:adjustRightInd w:val="0"/>
        <w:ind w:firstLineChars="200" w:firstLine="422"/>
        <w:jc w:val="left"/>
        <w:rPr>
          <w:rFonts w:ascii="黑体" w:eastAsia="黑体" w:hAnsi="黑体" w:cs="黑体"/>
          <w:kern w:val="0"/>
          <w:szCs w:val="21"/>
        </w:rPr>
      </w:pPr>
      <w:bookmarkStart w:id="4" w:name="_Hlk33085449"/>
      <w:r w:rsidRPr="009A1C14">
        <w:rPr>
          <w:rFonts w:ascii="黑体" w:eastAsia="黑体" w:hAnsi="黑体" w:cs="黑体" w:hint="eastAsia"/>
          <w:b/>
          <w:bCs/>
          <w:kern w:val="0"/>
          <w:szCs w:val="21"/>
        </w:rPr>
        <w:t>在最不利情况下，投资者甚至可能损失全部本金。</w:t>
      </w:r>
      <w:r w:rsidRPr="009A1C14">
        <w:rPr>
          <w:rFonts w:ascii="黑体" w:eastAsia="黑体" w:hAnsi="黑体" w:cs="黑体" w:hint="eastAsia"/>
          <w:b/>
          <w:kern w:val="0"/>
          <w:szCs w:val="21"/>
        </w:rPr>
        <w:t>投资者应充分认识投资风险，谨慎投资。</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lastRenderedPageBreak/>
        <w:t>示例：如投资者购买本理财产品，本金为10,000.00元，在理财产品资产组合项下资产全部亏损的最不利情况下，理财产品10,000.00元本金将全部损失</w:t>
      </w:r>
    </w:p>
    <w:bookmarkEnd w:id="4"/>
    <w:p w:rsidR="00B16FFD" w:rsidRPr="009A1C14" w:rsidRDefault="00007F89" w:rsidP="00AD09AA">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（三）税收</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1、</w:t>
      </w:r>
      <w:r w:rsidRPr="009A1C14">
        <w:rPr>
          <w:rFonts w:ascii="黑体" w:eastAsia="黑体" w:hAnsi="黑体" w:cs="黑体" w:hint="eastAsia"/>
          <w:b/>
          <w:kern w:val="0"/>
          <w:szCs w:val="21"/>
        </w:rPr>
        <w:t>根据财政部、国家税务总局相关税收监管政策的规定，理财产品运营过程中发生的增值税应税行为，</w:t>
      </w:r>
      <w:r w:rsidRPr="009A1C14">
        <w:rPr>
          <w:rFonts w:ascii="黑体" w:eastAsia="黑体" w:hAnsi="黑体" w:cs="黑体"/>
          <w:b/>
          <w:kern w:val="0"/>
          <w:szCs w:val="21"/>
        </w:rPr>
        <w:t>以</w:t>
      </w:r>
      <w:r w:rsidRPr="009A1C14">
        <w:rPr>
          <w:rFonts w:ascii="黑体" w:eastAsia="黑体" w:hAnsi="黑体" w:cs="黑体" w:hint="eastAsia"/>
          <w:b/>
          <w:kern w:val="0"/>
          <w:szCs w:val="21"/>
        </w:rPr>
        <w:t>理财产品为增值税纳税主体，计算并缴纳增值税及附加税费。产品</w:t>
      </w:r>
      <w:r w:rsidRPr="009A1C14">
        <w:rPr>
          <w:rFonts w:ascii="黑体" w:eastAsia="黑体" w:hAnsi="黑体" w:cs="黑体"/>
          <w:b/>
          <w:kern w:val="0"/>
          <w:szCs w:val="21"/>
        </w:rPr>
        <w:t>管理人将按照相关规定计算应缴纳的税费，</w:t>
      </w:r>
      <w:r w:rsidRPr="009A1C14">
        <w:rPr>
          <w:rFonts w:ascii="黑体" w:eastAsia="黑体" w:hAnsi="黑体" w:cs="黑体" w:hint="eastAsia"/>
          <w:b/>
          <w:kern w:val="0"/>
          <w:szCs w:val="21"/>
        </w:rPr>
        <w:t>并</w:t>
      </w:r>
      <w:r w:rsidRPr="009A1C14">
        <w:rPr>
          <w:rFonts w:ascii="黑体" w:eastAsia="黑体" w:hAnsi="黑体" w:cs="黑体"/>
          <w:b/>
          <w:kern w:val="0"/>
          <w:szCs w:val="21"/>
        </w:rPr>
        <w:t>从本产品财产中</w:t>
      </w:r>
      <w:r w:rsidRPr="009A1C14">
        <w:rPr>
          <w:rFonts w:ascii="黑体" w:eastAsia="黑体" w:hAnsi="黑体" w:cs="黑体" w:hint="eastAsia"/>
          <w:b/>
          <w:kern w:val="0"/>
          <w:szCs w:val="21"/>
        </w:rPr>
        <w:t>扣除</w:t>
      </w:r>
      <w:r w:rsidRPr="009A1C14">
        <w:rPr>
          <w:rFonts w:ascii="黑体" w:eastAsia="黑体" w:hAnsi="黑体" w:cs="黑体"/>
          <w:b/>
          <w:kern w:val="0"/>
          <w:szCs w:val="21"/>
        </w:rPr>
        <w:t>。</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2</w:t>
      </w:r>
      <w:r w:rsidRPr="009A1C14">
        <w:rPr>
          <w:rFonts w:ascii="黑体" w:eastAsia="黑体" w:hAnsi="黑体" w:cs="黑体" w:hint="eastAsia"/>
          <w:kern w:val="0"/>
          <w:szCs w:val="21"/>
        </w:rPr>
        <w:t>、除法律法规</w:t>
      </w:r>
      <w:r w:rsidRPr="009A1C14">
        <w:rPr>
          <w:rFonts w:ascii="黑体" w:eastAsia="黑体" w:hAnsi="黑体" w:cs="黑体"/>
          <w:kern w:val="0"/>
          <w:szCs w:val="21"/>
        </w:rPr>
        <w:t>特别要求外，投资者应缴纳的</w:t>
      </w:r>
      <w:r w:rsidRPr="009A1C14">
        <w:rPr>
          <w:rFonts w:ascii="黑体" w:eastAsia="黑体" w:hAnsi="黑体" w:cs="黑体" w:hint="eastAsia"/>
          <w:kern w:val="0"/>
          <w:szCs w:val="21"/>
        </w:rPr>
        <w:t>税费</w:t>
      </w:r>
      <w:r w:rsidRPr="009A1C14">
        <w:rPr>
          <w:rFonts w:ascii="黑体" w:eastAsia="黑体" w:hAnsi="黑体" w:cs="黑体"/>
          <w:kern w:val="0"/>
          <w:szCs w:val="21"/>
        </w:rPr>
        <w:t>由投资者</w:t>
      </w:r>
      <w:r w:rsidRPr="009A1C14">
        <w:rPr>
          <w:rFonts w:ascii="黑体" w:eastAsia="黑体" w:hAnsi="黑体" w:cs="黑体" w:hint="eastAsia"/>
          <w:kern w:val="0"/>
          <w:szCs w:val="21"/>
        </w:rPr>
        <w:t>自行缴纳</w:t>
      </w:r>
      <w:r w:rsidRPr="009A1C14">
        <w:rPr>
          <w:rFonts w:ascii="黑体" w:eastAsia="黑体" w:hAnsi="黑体" w:cs="黑体"/>
          <w:kern w:val="0"/>
          <w:szCs w:val="21"/>
        </w:rPr>
        <w:t>，</w:t>
      </w:r>
      <w:r w:rsidRPr="009A1C14">
        <w:rPr>
          <w:rFonts w:ascii="黑体" w:eastAsia="黑体" w:hAnsi="黑体" w:cs="黑体" w:hint="eastAsia"/>
          <w:kern w:val="0"/>
          <w:szCs w:val="21"/>
        </w:rPr>
        <w:t>产品管理人</w:t>
      </w:r>
      <w:r w:rsidRPr="009A1C14">
        <w:rPr>
          <w:rFonts w:ascii="黑体" w:eastAsia="黑体" w:hAnsi="黑体" w:cs="黑体"/>
          <w:kern w:val="0"/>
          <w:szCs w:val="21"/>
        </w:rPr>
        <w:t>不承担代扣代缴或纳税的义务。</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3</w:t>
      </w:r>
      <w:r w:rsidRPr="009A1C14">
        <w:rPr>
          <w:rFonts w:ascii="黑体" w:eastAsia="黑体" w:hAnsi="黑体" w:cs="黑体" w:hint="eastAsia"/>
          <w:kern w:val="0"/>
          <w:szCs w:val="21"/>
        </w:rPr>
        <w:t>、后续国家法律法规如对相关税收政策进行调整，产品管理人有权根据税收政策相应调整理财产品运营过程中发生的税费计算及</w:t>
      </w:r>
      <w:r w:rsidRPr="009A1C14">
        <w:rPr>
          <w:rFonts w:ascii="黑体" w:eastAsia="黑体" w:hAnsi="黑体" w:cs="黑体"/>
          <w:kern w:val="0"/>
          <w:szCs w:val="21"/>
        </w:rPr>
        <w:t>缴纳</w:t>
      </w:r>
      <w:r w:rsidRPr="009A1C14">
        <w:rPr>
          <w:rFonts w:ascii="黑体" w:eastAsia="黑体" w:hAnsi="黑体" w:cs="黑体" w:hint="eastAsia"/>
          <w:kern w:val="0"/>
          <w:szCs w:val="21"/>
        </w:rPr>
        <w:t>方式。</w:t>
      </w:r>
    </w:p>
    <w:p w:rsidR="00B16FFD" w:rsidRPr="009A1C14" w:rsidRDefault="00B16FFD">
      <w:pPr>
        <w:autoSpaceDE w:val="0"/>
        <w:autoSpaceDN w:val="0"/>
        <w:adjustRightInd w:val="0"/>
        <w:ind w:firstLineChars="236" w:firstLine="496"/>
        <w:jc w:val="left"/>
        <w:rPr>
          <w:rFonts w:ascii="黑体" w:eastAsia="黑体" w:hAnsi="黑体" w:cs="黑体"/>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七、理财产品到期与终止</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1</w:t>
      </w:r>
      <w:r w:rsidRPr="009A1C14">
        <w:rPr>
          <w:rFonts w:ascii="黑体" w:eastAsia="黑体" w:hAnsi="黑体" w:cs="黑体" w:hint="eastAsia"/>
          <w:b/>
          <w:kern w:val="0"/>
          <w:szCs w:val="21"/>
        </w:rPr>
        <w:t>、正常兑付</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投资者持有产品至产品到期日，投资者的理财产品投资本金（如有）和收益（如有）在产品到期后一次性支付。投资者理财产品投资本金（如有）和收益（如有）将于产品到期日后3个工作日内划转至投资者指定账户，如遇法定节假日或公休日则顺延。产品到期日至资金实际到账日之间，投资者资金不计息。</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b/>
          <w:kern w:val="0"/>
          <w:szCs w:val="21"/>
        </w:rPr>
        <w:t>2、提前终止</w:t>
      </w:r>
    </w:p>
    <w:p w:rsidR="00BA2F6C" w:rsidRPr="009A1C14" w:rsidRDefault="00BA2F6C" w:rsidP="00BA2F6C">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本产品单一份额如遇存续规模大幅下降、存续份额低于1000万等情况，或产品管理人认为影响份额运作需要提前终止的其他情况，管理人有权根据产品实际运作情况对该份额进行终止，不晚于终止日当日以投资者可接收的方式对终止运作的份额持有人下发终止告知函，并在终止日后5个工作日内以投资者可接收的方式对终止运作的份额持有人下发终止公告，相关兑付安排规则将在终止公告中披露，前述份额终止情形不影响本文件其他条款的有效性。</w:t>
      </w:r>
    </w:p>
    <w:p w:rsidR="00B16FFD" w:rsidRPr="009A1C14" w:rsidRDefault="00007F89">
      <w:pPr>
        <w:autoSpaceDE w:val="0"/>
        <w:autoSpaceDN w:val="0"/>
        <w:adjustRightInd w:val="0"/>
        <w:ind w:firstLineChars="200" w:firstLine="422"/>
        <w:jc w:val="left"/>
        <w:rPr>
          <w:rFonts w:ascii="黑体" w:eastAsia="黑体" w:hAnsi="黑体" w:cs="黑体"/>
          <w:b/>
          <w:kern w:val="0"/>
          <w:szCs w:val="21"/>
        </w:rPr>
      </w:pPr>
      <w:r w:rsidRPr="009A1C14">
        <w:rPr>
          <w:rFonts w:ascii="黑体" w:eastAsia="黑体" w:hAnsi="黑体" w:cs="黑体" w:hint="eastAsia"/>
          <w:b/>
          <w:kern w:val="0"/>
          <w:szCs w:val="21"/>
        </w:rPr>
        <w:t>在本产品存续期内，如遇包括但不限于国家金融政策发生重大调整、金融市场发生重大波动、</w:t>
      </w:r>
      <w:r w:rsidRPr="009A1C14">
        <w:rPr>
          <w:rFonts w:ascii="黑体" w:eastAsia="黑体" w:hAnsi="黑体" w:cs="黑体"/>
          <w:b/>
          <w:kern w:val="0"/>
          <w:szCs w:val="21"/>
        </w:rPr>
        <w:t>不可抗力</w:t>
      </w:r>
      <w:r w:rsidR="006736A5" w:rsidRPr="009A1C14">
        <w:rPr>
          <w:rFonts w:ascii="黑体" w:eastAsia="黑体" w:hAnsi="黑体" w:cs="黑体" w:hint="eastAsia"/>
          <w:b/>
          <w:kern w:val="0"/>
          <w:szCs w:val="21"/>
        </w:rPr>
        <w:t>、产品存续规模低于产品最低成立规模</w:t>
      </w:r>
      <w:r w:rsidRPr="009A1C14">
        <w:rPr>
          <w:rFonts w:ascii="黑体" w:eastAsia="黑体" w:hAnsi="黑体" w:cs="黑体" w:hint="eastAsia"/>
          <w:b/>
          <w:kern w:val="0"/>
          <w:szCs w:val="21"/>
        </w:rPr>
        <w:t>或产品管理人认为</w:t>
      </w:r>
      <w:r w:rsidR="006736A5" w:rsidRPr="009A1C14">
        <w:rPr>
          <w:rFonts w:ascii="黑体" w:eastAsia="黑体" w:hAnsi="黑体" w:cs="黑体" w:hint="eastAsia"/>
          <w:b/>
          <w:kern w:val="0"/>
          <w:szCs w:val="21"/>
        </w:rPr>
        <w:t>影响产品运作</w:t>
      </w:r>
      <w:r w:rsidRPr="009A1C14">
        <w:rPr>
          <w:rFonts w:ascii="黑体" w:eastAsia="黑体" w:hAnsi="黑体" w:cs="黑体" w:hint="eastAsia"/>
          <w:b/>
          <w:kern w:val="0"/>
          <w:szCs w:val="21"/>
        </w:rPr>
        <w:t>需要提前终止产品的其他情况，产品管理人有权提前终止产品，并至少于提前终止日前5个工作日进行公告，相关兑付</w:t>
      </w:r>
      <w:r w:rsidRPr="009A1C14">
        <w:rPr>
          <w:rFonts w:ascii="黑体" w:eastAsia="黑体" w:hAnsi="黑体" w:cs="黑体"/>
          <w:b/>
          <w:kern w:val="0"/>
          <w:szCs w:val="21"/>
        </w:rPr>
        <w:t>安排规则</w:t>
      </w:r>
      <w:r w:rsidRPr="009A1C14">
        <w:rPr>
          <w:rFonts w:ascii="黑体" w:eastAsia="黑体" w:hAnsi="黑体" w:cs="黑体" w:hint="eastAsia"/>
          <w:b/>
          <w:kern w:val="0"/>
          <w:szCs w:val="21"/>
        </w:rPr>
        <w:t>将在</w:t>
      </w:r>
      <w:r w:rsidRPr="009A1C14">
        <w:rPr>
          <w:rFonts w:ascii="黑体" w:eastAsia="黑体" w:hAnsi="黑体" w:cs="黑体"/>
          <w:b/>
          <w:kern w:val="0"/>
          <w:szCs w:val="21"/>
        </w:rPr>
        <w:t>公告</w:t>
      </w:r>
      <w:r w:rsidRPr="009A1C14">
        <w:rPr>
          <w:rFonts w:ascii="黑体" w:eastAsia="黑体" w:hAnsi="黑体" w:cs="黑体" w:hint="eastAsia"/>
          <w:b/>
          <w:kern w:val="0"/>
          <w:szCs w:val="21"/>
        </w:rPr>
        <w:t>中</w:t>
      </w:r>
      <w:r w:rsidRPr="009A1C14">
        <w:rPr>
          <w:rFonts w:ascii="黑体" w:eastAsia="黑体" w:hAnsi="黑体" w:cs="黑体"/>
          <w:b/>
          <w:kern w:val="0"/>
          <w:szCs w:val="21"/>
        </w:rPr>
        <w:t>披露。</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3、其他情况</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如果发生国家金融政策发生重大调整、流动性紧张、</w:t>
      </w:r>
      <w:r w:rsidRPr="009A1C14">
        <w:rPr>
          <w:rFonts w:ascii="黑体" w:eastAsia="黑体" w:hAnsi="黑体" w:cs="黑体"/>
          <w:kern w:val="0"/>
          <w:szCs w:val="21"/>
        </w:rPr>
        <w:t>市场环境变化</w:t>
      </w:r>
      <w:r w:rsidRPr="009A1C14">
        <w:rPr>
          <w:rFonts w:ascii="黑体" w:eastAsia="黑体" w:hAnsi="黑体" w:cs="黑体" w:hint="eastAsia"/>
          <w:kern w:val="0"/>
          <w:szCs w:val="21"/>
        </w:rPr>
        <w:t>或</w:t>
      </w:r>
      <w:r w:rsidRPr="009A1C14">
        <w:rPr>
          <w:rFonts w:ascii="黑体" w:eastAsia="黑体" w:hAnsi="黑体" w:cs="黑体"/>
          <w:kern w:val="0"/>
          <w:szCs w:val="21"/>
        </w:rPr>
        <w:t>不可抗力等特殊</w:t>
      </w:r>
      <w:r w:rsidRPr="009A1C14">
        <w:rPr>
          <w:rFonts w:ascii="黑体" w:eastAsia="黑体" w:hAnsi="黑体" w:cs="黑体" w:hint="eastAsia"/>
          <w:kern w:val="0"/>
          <w:szCs w:val="21"/>
        </w:rPr>
        <w:t>情形，造成本产品持有的基础资产无法及时、足额变现，产品管理人可以根据实际情况选择向投资者延迟兑付或者分次兑付，并于发生上述情形后的2个工作日内公告兑付方案。</w:t>
      </w:r>
    </w:p>
    <w:p w:rsidR="00B16FFD" w:rsidRPr="009A1C14" w:rsidRDefault="00B16FFD">
      <w:pPr>
        <w:autoSpaceDE w:val="0"/>
        <w:autoSpaceDN w:val="0"/>
        <w:adjustRightInd w:val="0"/>
        <w:ind w:firstLineChars="200" w:firstLine="420"/>
        <w:jc w:val="left"/>
        <w:rPr>
          <w:rFonts w:ascii="黑体" w:eastAsia="黑体" w:hAnsi="黑体" w:cs="黑体"/>
          <w:kern w:val="0"/>
          <w:szCs w:val="21"/>
        </w:rPr>
      </w:pPr>
    </w:p>
    <w:p w:rsidR="00B16FFD" w:rsidRPr="009A1C14" w:rsidRDefault="00007F89">
      <w:pPr>
        <w:autoSpaceDE w:val="0"/>
        <w:autoSpaceDN w:val="0"/>
        <w:adjustRightInd w:val="0"/>
        <w:jc w:val="left"/>
        <w:rPr>
          <w:rFonts w:ascii="黑体" w:eastAsia="黑体" w:hAnsi="黑体" w:cs="宋体"/>
          <w:b/>
          <w:kern w:val="0"/>
          <w:szCs w:val="21"/>
        </w:rPr>
      </w:pPr>
      <w:r w:rsidRPr="009A1C14">
        <w:rPr>
          <w:rFonts w:ascii="黑体" w:eastAsia="黑体" w:hAnsi="黑体" w:cs="宋体" w:hint="eastAsia"/>
          <w:b/>
          <w:kern w:val="0"/>
          <w:szCs w:val="21"/>
        </w:rPr>
        <w:t>八、托管机构和销售机构</w:t>
      </w:r>
    </w:p>
    <w:p w:rsidR="00B16FFD" w:rsidRPr="009A1C14" w:rsidRDefault="00007F89">
      <w:pPr>
        <w:autoSpaceDE w:val="0"/>
        <w:autoSpaceDN w:val="0"/>
        <w:adjustRightInd w:val="0"/>
        <w:jc w:val="left"/>
        <w:rPr>
          <w:rFonts w:ascii="黑体" w:eastAsia="黑体" w:hAnsi="黑体" w:cs="宋体"/>
          <w:bCs/>
          <w:kern w:val="0"/>
          <w:szCs w:val="21"/>
        </w:rPr>
      </w:pPr>
      <w:r w:rsidRPr="009A1C14">
        <w:rPr>
          <w:rFonts w:ascii="黑体" w:eastAsia="黑体" w:hAnsi="黑体" w:cs="宋体" w:hint="eastAsia"/>
          <w:bCs/>
          <w:kern w:val="0"/>
          <w:szCs w:val="21"/>
        </w:rPr>
        <w:t>（一）托管机构基本信息</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1、机构名称：宁波银行股份有限公司</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 xml:space="preserve">   客服热线：95574</w:t>
      </w:r>
    </w:p>
    <w:p w:rsidR="00B16FFD" w:rsidRPr="009A1C14" w:rsidRDefault="00007F89">
      <w:pPr>
        <w:autoSpaceDE w:val="0"/>
        <w:autoSpaceDN w:val="0"/>
        <w:adjustRightInd w:val="0"/>
        <w:ind w:firstLineChars="200" w:firstLine="420"/>
        <w:jc w:val="left"/>
        <w:rPr>
          <w:rFonts w:ascii="Calibri" w:eastAsia="黑体" w:hAnsi="Calibri" w:cs="Calibri"/>
          <w:kern w:val="0"/>
          <w:szCs w:val="21"/>
        </w:rPr>
      </w:pPr>
      <w:r w:rsidRPr="009A1C14">
        <w:rPr>
          <w:rFonts w:ascii="黑体" w:eastAsia="黑体" w:hAnsi="黑体" w:cs="宋体" w:hint="eastAsia"/>
          <w:kern w:val="0"/>
          <w:szCs w:val="21"/>
        </w:rPr>
        <w:t xml:space="preserve">   官方网站：www.nbcb.com.cn</w:t>
      </w:r>
    </w:p>
    <w:p w:rsidR="00B16FFD" w:rsidRPr="009A1C14" w:rsidRDefault="00007F89">
      <w:pPr>
        <w:autoSpaceDE w:val="0"/>
        <w:autoSpaceDN w:val="0"/>
        <w:adjustRightInd w:val="0"/>
        <w:ind w:firstLineChars="200" w:firstLine="420"/>
        <w:jc w:val="left"/>
        <w:rPr>
          <w:rFonts w:ascii="黑体" w:eastAsia="黑体" w:hAnsi="黑体" w:cs="宋体"/>
          <w:bCs/>
          <w:kern w:val="0"/>
          <w:szCs w:val="21"/>
        </w:rPr>
      </w:pPr>
      <w:r w:rsidRPr="009A1C14">
        <w:rPr>
          <w:rFonts w:ascii="黑体" w:eastAsia="黑体" w:hAnsi="黑体" w:cs="宋体" w:hint="eastAsia"/>
          <w:bCs/>
          <w:kern w:val="0"/>
          <w:szCs w:val="21"/>
        </w:rPr>
        <w:t>托管机构主要职责：</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1、安全托管理财资金及其所投资的资产或保管代表资产的权益凭证或财产清单；</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2、为本产品开设独立的托管账户，不同托管账户中的资产应当相互独立；</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3、按照托管协议约定和产品管理人的投资指令，及时办理清算、交割事宜；</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4、记录理财资金划拨情况，保存产品管理人的资金用途说明；</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5、负责本产品财产的会计核算；</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lastRenderedPageBreak/>
        <w:t>6、建立与产品管理人的对账机制，核对本产品财产交易记录、资金和财产账目、资产净值等数据；</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7</w:t>
      </w:r>
      <w:r w:rsidRPr="009A1C14">
        <w:rPr>
          <w:rFonts w:ascii="黑体" w:eastAsia="黑体" w:hAnsi="黑体" w:cs="黑体" w:hint="eastAsia"/>
          <w:kern w:val="0"/>
          <w:szCs w:val="21"/>
        </w:rPr>
        <w:t>、监督本产品投资运作；</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8</w:t>
      </w:r>
      <w:r w:rsidRPr="009A1C14">
        <w:rPr>
          <w:rFonts w:ascii="黑体" w:eastAsia="黑体" w:hAnsi="黑体" w:cs="黑体" w:hint="eastAsia"/>
          <w:kern w:val="0"/>
          <w:szCs w:val="21"/>
        </w:rPr>
        <w:t>、办理与本产品托管业务活动相关的信息披露事项；</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9</w:t>
      </w:r>
      <w:r w:rsidRPr="009A1C14">
        <w:rPr>
          <w:rFonts w:ascii="黑体" w:eastAsia="黑体" w:hAnsi="黑体" w:cs="黑体" w:hint="eastAsia"/>
          <w:kern w:val="0"/>
          <w:szCs w:val="21"/>
        </w:rPr>
        <w:t>、将本产</w:t>
      </w:r>
      <w:r w:rsidRPr="009A1C14">
        <w:rPr>
          <w:rFonts w:ascii="黑体" w:eastAsia="黑体" w:hAnsi="黑体" w:cs="黑体"/>
          <w:kern w:val="0"/>
          <w:szCs w:val="21"/>
        </w:rPr>
        <w:t>品</w:t>
      </w:r>
      <w:r w:rsidRPr="009A1C14">
        <w:rPr>
          <w:rFonts w:ascii="黑体" w:eastAsia="黑体" w:hAnsi="黑体" w:cs="黑体" w:hint="eastAsia"/>
          <w:kern w:val="0"/>
          <w:szCs w:val="21"/>
        </w:rPr>
        <w:t>托管业务活动的记录、账册、报表和其他相关资料保存15年以上；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10</w:t>
      </w:r>
      <w:r w:rsidRPr="009A1C14">
        <w:rPr>
          <w:rFonts w:ascii="黑体" w:eastAsia="黑体" w:hAnsi="黑体" w:cs="黑体" w:hint="eastAsia"/>
          <w:kern w:val="0"/>
          <w:szCs w:val="21"/>
        </w:rPr>
        <w:t>、对本产品投资信息和相关资料承担保密责任，除法律、行政法规、规章规定、审计要求或者合同约定外，不得向任何机构或者个人提供相关信息和资料；</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kern w:val="0"/>
          <w:szCs w:val="21"/>
        </w:rPr>
        <w:t>11</w:t>
      </w:r>
      <w:r w:rsidRPr="009A1C14">
        <w:rPr>
          <w:rFonts w:ascii="黑体" w:eastAsia="黑体" w:hAnsi="黑体" w:cs="黑体" w:hint="eastAsia"/>
          <w:kern w:val="0"/>
          <w:szCs w:val="21"/>
        </w:rPr>
        <w:t>、每季度向产品管理人出具本产品的托管业务报告；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w:t>
      </w:r>
      <w:r w:rsidRPr="009A1C14">
        <w:rPr>
          <w:rFonts w:ascii="黑体" w:eastAsia="黑体" w:hAnsi="黑体" w:cs="黑体"/>
          <w:kern w:val="0"/>
          <w:szCs w:val="21"/>
        </w:rPr>
        <w:t>2</w:t>
      </w:r>
      <w:r w:rsidRPr="009A1C14">
        <w:rPr>
          <w:rFonts w:ascii="黑体" w:eastAsia="黑体" w:hAnsi="黑体" w:cs="黑体" w:hint="eastAsia"/>
          <w:kern w:val="0"/>
          <w:szCs w:val="21"/>
        </w:rPr>
        <w:t>、法律、法规、国务院银行业监督管理机构规定的其他职责。</w:t>
      </w:r>
    </w:p>
    <w:p w:rsidR="00B16FFD" w:rsidRPr="009A1C14" w:rsidRDefault="00007F89">
      <w:pPr>
        <w:autoSpaceDE w:val="0"/>
        <w:autoSpaceDN w:val="0"/>
        <w:adjustRightInd w:val="0"/>
        <w:jc w:val="left"/>
        <w:rPr>
          <w:rFonts w:ascii="黑体" w:eastAsia="黑体" w:hAnsi="黑体" w:cs="宋体"/>
          <w:kern w:val="0"/>
          <w:szCs w:val="21"/>
        </w:rPr>
      </w:pPr>
      <w:bookmarkStart w:id="5" w:name="_Hlk33106867"/>
      <w:r w:rsidRPr="009A1C14">
        <w:rPr>
          <w:rFonts w:ascii="黑体" w:eastAsia="黑体" w:hAnsi="黑体" w:cs="宋体" w:hint="eastAsia"/>
          <w:kern w:val="0"/>
          <w:szCs w:val="21"/>
        </w:rPr>
        <w:t>（二）销售机构基本信息</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1、机构名称：宁波银行股份有限公司</w:t>
      </w:r>
    </w:p>
    <w:p w:rsidR="00B16FFD" w:rsidRPr="009A1C14" w:rsidRDefault="00007F89">
      <w:pPr>
        <w:autoSpaceDE w:val="0"/>
        <w:autoSpaceDN w:val="0"/>
        <w:adjustRightInd w:val="0"/>
        <w:ind w:left="840"/>
        <w:jc w:val="left"/>
        <w:rPr>
          <w:rFonts w:ascii="黑体" w:eastAsia="黑体" w:hAnsi="黑体" w:cs="宋体"/>
          <w:kern w:val="0"/>
          <w:szCs w:val="21"/>
        </w:rPr>
      </w:pPr>
      <w:r w:rsidRPr="009A1C14">
        <w:rPr>
          <w:rFonts w:ascii="黑体" w:eastAsia="黑体" w:hAnsi="黑体" w:cs="宋体" w:hint="eastAsia"/>
          <w:kern w:val="0"/>
          <w:szCs w:val="21"/>
        </w:rPr>
        <w:t>客服热线：95574</w:t>
      </w:r>
    </w:p>
    <w:p w:rsidR="00B16FFD" w:rsidRPr="009A1C14" w:rsidRDefault="00007F89">
      <w:pPr>
        <w:autoSpaceDE w:val="0"/>
        <w:autoSpaceDN w:val="0"/>
        <w:adjustRightInd w:val="0"/>
        <w:ind w:left="420" w:firstLineChars="200" w:firstLine="420"/>
        <w:jc w:val="left"/>
        <w:rPr>
          <w:rFonts w:ascii="Calibri" w:eastAsia="黑体" w:hAnsi="Calibri" w:cs="Calibri"/>
          <w:kern w:val="0"/>
          <w:szCs w:val="21"/>
        </w:rPr>
      </w:pPr>
      <w:r w:rsidRPr="009A1C14">
        <w:rPr>
          <w:rFonts w:ascii="黑体" w:eastAsia="黑体" w:hAnsi="黑体" w:cs="宋体" w:hint="eastAsia"/>
          <w:kern w:val="0"/>
          <w:szCs w:val="21"/>
        </w:rPr>
        <w:t>官方网站：www.nbcb.com.cn</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2、机构名称：华侨永亨银行（中国）有限公司</w:t>
      </w:r>
    </w:p>
    <w:p w:rsidR="00B16FFD" w:rsidRPr="009A1C14" w:rsidRDefault="00007F89">
      <w:pPr>
        <w:autoSpaceDE w:val="0"/>
        <w:autoSpaceDN w:val="0"/>
        <w:adjustRightInd w:val="0"/>
        <w:ind w:left="420" w:firstLine="420"/>
        <w:jc w:val="left"/>
        <w:rPr>
          <w:rFonts w:ascii="黑体" w:eastAsia="黑体" w:hAnsi="黑体" w:cs="宋体"/>
          <w:kern w:val="0"/>
          <w:szCs w:val="21"/>
        </w:rPr>
      </w:pPr>
      <w:r w:rsidRPr="009A1C14">
        <w:rPr>
          <w:rFonts w:ascii="黑体" w:eastAsia="黑体" w:hAnsi="黑体" w:cs="宋体" w:hint="eastAsia"/>
          <w:kern w:val="0"/>
          <w:szCs w:val="21"/>
        </w:rPr>
        <w:t>客服热线：40089-40089</w:t>
      </w:r>
    </w:p>
    <w:p w:rsidR="00B16FFD" w:rsidRPr="009A1C14" w:rsidRDefault="00007F89">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hyperlink r:id="rId8" w:history="1">
        <w:r w:rsidRPr="009A1C14">
          <w:rPr>
            <w:rFonts w:ascii="黑体" w:eastAsia="黑体" w:hAnsi="黑体" w:cs="宋体"/>
            <w:kern w:val="0"/>
            <w:szCs w:val="21"/>
          </w:rPr>
          <w:t>www.ocbc.com.cn</w:t>
        </w:r>
      </w:hyperlink>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3</w:t>
      </w:r>
      <w:r w:rsidRPr="009A1C14">
        <w:rPr>
          <w:rFonts w:ascii="黑体" w:eastAsia="黑体" w:hAnsi="黑体" w:cs="宋体" w:hint="eastAsia"/>
          <w:kern w:val="0"/>
          <w:szCs w:val="21"/>
        </w:rPr>
        <w:t>、机构名称：长城华西银行股份有限公司</w:t>
      </w:r>
    </w:p>
    <w:p w:rsidR="00B16FFD" w:rsidRPr="009A1C14" w:rsidRDefault="00007F89">
      <w:pPr>
        <w:autoSpaceDE w:val="0"/>
        <w:autoSpaceDN w:val="0"/>
        <w:adjustRightInd w:val="0"/>
        <w:ind w:left="420" w:firstLine="420"/>
        <w:jc w:val="left"/>
        <w:rPr>
          <w:rFonts w:ascii="黑体" w:eastAsia="黑体" w:hAnsi="黑体" w:cs="宋体"/>
          <w:kern w:val="0"/>
          <w:szCs w:val="21"/>
        </w:rPr>
      </w:pPr>
      <w:r w:rsidRPr="009A1C14">
        <w:rPr>
          <w:rFonts w:ascii="黑体" w:eastAsia="黑体" w:hAnsi="黑体" w:cs="宋体" w:hint="eastAsia"/>
          <w:kern w:val="0"/>
          <w:szCs w:val="21"/>
        </w:rPr>
        <w:t>客服热线：</w:t>
      </w:r>
      <w:r w:rsidRPr="009A1C14">
        <w:rPr>
          <w:rFonts w:ascii="黑体" w:eastAsia="黑体" w:hAnsi="黑体" w:cs="宋体"/>
          <w:kern w:val="0"/>
          <w:szCs w:val="21"/>
        </w:rPr>
        <w:t>028-96836</w:t>
      </w:r>
    </w:p>
    <w:p w:rsidR="00B16FFD" w:rsidRPr="009A1C14" w:rsidRDefault="00007F89">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r w:rsidRPr="009A1C14">
        <w:rPr>
          <w:rFonts w:ascii="黑体" w:eastAsia="黑体" w:hAnsi="黑体" w:cs="宋体"/>
          <w:kern w:val="0"/>
          <w:szCs w:val="21"/>
        </w:rPr>
        <w:t>www.gwbank.com.cn</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4、机构名称：浙商银行股份有限公司</w:t>
      </w:r>
    </w:p>
    <w:p w:rsidR="00B16FFD" w:rsidRPr="009A1C14" w:rsidRDefault="00007F89">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客服热线：95527</w:t>
      </w:r>
    </w:p>
    <w:p w:rsidR="00B16FFD" w:rsidRPr="009A1C14" w:rsidRDefault="00007F89">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hyperlink r:id="rId9" w:history="1">
        <w:r w:rsidRPr="009A1C14">
          <w:rPr>
            <w:rFonts w:ascii="黑体" w:eastAsia="黑体" w:hAnsi="黑体" w:cs="宋体"/>
            <w:kern w:val="0"/>
            <w:szCs w:val="21"/>
          </w:rPr>
          <w:t>www.czbank.com</w:t>
        </w:r>
      </w:hyperlink>
    </w:p>
    <w:p w:rsidR="005B3606" w:rsidRPr="009A1C14" w:rsidRDefault="005B3606" w:rsidP="005B3606">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5、机构名称：威海市商业银行股份有限公司</w:t>
      </w:r>
    </w:p>
    <w:p w:rsidR="005B3606" w:rsidRPr="009A1C14" w:rsidRDefault="005B3606" w:rsidP="00057C6E">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客服热线：4000096636</w:t>
      </w:r>
    </w:p>
    <w:p w:rsidR="005B3606" w:rsidRPr="009A1C14" w:rsidRDefault="005B3606" w:rsidP="00057C6E">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hyperlink r:id="rId10" w:history="1">
        <w:r w:rsidRPr="009A1C14">
          <w:t>www.whccb.com</w:t>
        </w:r>
      </w:hyperlink>
    </w:p>
    <w:p w:rsidR="001D788A" w:rsidRPr="009A1C14" w:rsidRDefault="001D788A" w:rsidP="001D788A">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6</w:t>
      </w:r>
      <w:r w:rsidRPr="009A1C14">
        <w:rPr>
          <w:rFonts w:ascii="黑体" w:eastAsia="黑体" w:hAnsi="黑体" w:cs="宋体" w:hint="eastAsia"/>
          <w:kern w:val="0"/>
          <w:szCs w:val="21"/>
        </w:rPr>
        <w:t>、机构名称：</w:t>
      </w:r>
      <w:r w:rsidR="003D254B" w:rsidRPr="009A1C14">
        <w:rPr>
          <w:rFonts w:ascii="黑体" w:eastAsia="黑体" w:hAnsi="黑体" w:cs="宋体" w:hint="eastAsia"/>
          <w:kern w:val="0"/>
          <w:szCs w:val="21"/>
        </w:rPr>
        <w:t>江苏江阴农村商业银行股份有限公司</w:t>
      </w:r>
    </w:p>
    <w:p w:rsidR="001D788A" w:rsidRPr="009A1C14" w:rsidRDefault="001D788A" w:rsidP="001D788A">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客服热线：</w:t>
      </w:r>
      <w:r w:rsidR="003147C0" w:rsidRPr="009A1C14">
        <w:rPr>
          <w:rFonts w:ascii="黑体" w:eastAsia="黑体" w:hAnsi="黑体" w:cs="宋体"/>
          <w:kern w:val="0"/>
          <w:szCs w:val="21"/>
        </w:rPr>
        <w:t>96078</w:t>
      </w:r>
    </w:p>
    <w:p w:rsidR="001D788A" w:rsidRPr="009A1C14" w:rsidRDefault="001D788A" w:rsidP="001D788A">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r w:rsidR="003147C0" w:rsidRPr="009A1C14">
        <w:t>www.jybank.com.cn</w:t>
      </w:r>
    </w:p>
    <w:p w:rsidR="00761926" w:rsidRPr="009A1C14" w:rsidRDefault="00761926" w:rsidP="00761926">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7</w:t>
      </w:r>
      <w:r w:rsidRPr="009A1C14">
        <w:rPr>
          <w:rFonts w:ascii="黑体" w:eastAsia="黑体" w:hAnsi="黑体" w:cs="宋体" w:hint="eastAsia"/>
          <w:kern w:val="0"/>
          <w:szCs w:val="21"/>
        </w:rPr>
        <w:t>、机构名称：</w:t>
      </w:r>
      <w:r w:rsidR="00140379" w:rsidRPr="009A1C14">
        <w:rPr>
          <w:rFonts w:ascii="黑体" w:eastAsia="黑体" w:hAnsi="黑体" w:cs="宋体" w:hint="eastAsia"/>
          <w:kern w:val="0"/>
          <w:szCs w:val="21"/>
        </w:rPr>
        <w:t>江苏江南农村商业银行股份有限公司</w:t>
      </w:r>
    </w:p>
    <w:p w:rsidR="00761926" w:rsidRPr="009A1C14" w:rsidRDefault="00761926" w:rsidP="00761926">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客服热线：</w:t>
      </w:r>
      <w:r w:rsidR="00C93857" w:rsidRPr="009A1C14">
        <w:rPr>
          <w:rFonts w:ascii="黑体" w:eastAsia="黑体" w:hAnsi="黑体" w:cs="宋体"/>
          <w:kern w:val="0"/>
          <w:szCs w:val="21"/>
        </w:rPr>
        <w:t>0519-96005</w:t>
      </w:r>
    </w:p>
    <w:p w:rsidR="00761926" w:rsidRPr="009A1C14" w:rsidRDefault="00761926" w:rsidP="00761926">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r w:rsidR="00A163C5" w:rsidRPr="009A1C14">
        <w:rPr>
          <w:rFonts w:ascii="黑体" w:eastAsia="黑体" w:hAnsi="黑体" w:cs="宋体"/>
          <w:kern w:val="0"/>
          <w:szCs w:val="21"/>
        </w:rPr>
        <w:t>www.jnbank.com.cn</w:t>
      </w:r>
    </w:p>
    <w:p w:rsidR="00651E53" w:rsidRPr="009A1C14" w:rsidRDefault="00651E53" w:rsidP="00651E53">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kern w:val="0"/>
          <w:szCs w:val="21"/>
        </w:rPr>
        <w:t>8</w:t>
      </w:r>
      <w:r w:rsidRPr="009A1C14">
        <w:rPr>
          <w:rFonts w:ascii="黑体" w:eastAsia="黑体" w:hAnsi="黑体" w:cs="宋体" w:hint="eastAsia"/>
          <w:kern w:val="0"/>
          <w:szCs w:val="21"/>
        </w:rPr>
        <w:t>、机构名称：兴业银行股份有限公司</w:t>
      </w:r>
    </w:p>
    <w:p w:rsidR="00651E53" w:rsidRPr="009A1C14" w:rsidRDefault="00651E53" w:rsidP="00651E53">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客服热线：</w:t>
      </w:r>
      <w:r w:rsidRPr="009A1C14">
        <w:rPr>
          <w:rFonts w:ascii="黑体" w:eastAsia="黑体" w:hAnsi="黑体" w:cs="宋体"/>
          <w:kern w:val="0"/>
          <w:szCs w:val="21"/>
        </w:rPr>
        <w:t>95561</w:t>
      </w:r>
    </w:p>
    <w:p w:rsidR="00651E53" w:rsidRPr="009A1C14" w:rsidRDefault="00651E53" w:rsidP="00651E53">
      <w:pPr>
        <w:autoSpaceDE w:val="0"/>
        <w:autoSpaceDN w:val="0"/>
        <w:adjustRightInd w:val="0"/>
        <w:ind w:left="420" w:firstLineChars="200" w:firstLine="420"/>
        <w:jc w:val="left"/>
        <w:rPr>
          <w:rFonts w:ascii="黑体" w:eastAsia="黑体" w:hAnsi="黑体" w:cs="宋体"/>
          <w:kern w:val="0"/>
          <w:szCs w:val="21"/>
        </w:rPr>
      </w:pPr>
      <w:r w:rsidRPr="009A1C14">
        <w:rPr>
          <w:rFonts w:ascii="黑体" w:eastAsia="黑体" w:hAnsi="黑体" w:cs="宋体" w:hint="eastAsia"/>
          <w:kern w:val="0"/>
          <w:szCs w:val="21"/>
        </w:rPr>
        <w:t>官方网站：</w:t>
      </w:r>
      <w:r w:rsidRPr="009A1C14">
        <w:rPr>
          <w:rFonts w:ascii="黑体" w:eastAsia="黑体" w:hAnsi="黑体" w:cs="宋体"/>
          <w:kern w:val="0"/>
          <w:szCs w:val="21"/>
        </w:rPr>
        <w:t>www.cib.com.cn</w:t>
      </w:r>
    </w:p>
    <w:p w:rsidR="00B16FFD" w:rsidRPr="009A1C14" w:rsidRDefault="00007F89" w:rsidP="005B3606">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销售机构主要职责：</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1、严格遵循国家法律、法规及其他有关规定和理财产品销售文件的规定，办理本产品销售业务，勤勉、尽责地履行销售机构的职责；</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2、应保证在履行理财产品销售文件过程中占有、控制的理财产品资产或理财产品份额持有人的资产与销售机构自身资产相互独立，分别建账，分别管理；</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3、对投资者身份信息的真实性进行验证；</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4、对非机构投资者严谨客观实施风险承受能力评估并持续跟进，根据投资者的风险承受能力销售不同风险等级的产品，把合适的理财产品销售给合适的投资者；</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5、向投资者提供持续信息服务，包括但不限于以下方面:及时向投资者告知申赎理财产品的确认日期、确认份额和金额等信息；定期向投资者提供其所持有的理财产品基本信</w:t>
      </w:r>
      <w:r w:rsidRPr="009A1C14">
        <w:rPr>
          <w:rFonts w:ascii="黑体" w:eastAsia="黑体" w:hAnsi="黑体" w:cs="宋体" w:hint="eastAsia"/>
          <w:kern w:val="0"/>
          <w:szCs w:val="21"/>
        </w:rPr>
        <w:lastRenderedPageBreak/>
        <w:t>息；及时向投资者告知对其决策有重大影响的信息；</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6、充分了解面向特定对象销售的理财产品的投资者信息，收集、核验投资者金融资产证明、收入证明或纳税凭证等材料；</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7、根据反洗钱、反恐怖融资及非居民金融账户涉税信息尽职调查等相关法律法规要求识别客户身份；</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8、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9、完整记录和保存销售业务活动信息，确保记录信息全面、准确和不可篡改；</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10、根据有关法律法规、监管规定和理财产品销售文件的要求，及时、充分披露本产品的相关信息；</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11、建立健全档案管理制度，妥善保管投资者理财产品销售相关资料，保管年限不得低于法规规定的年限；</w:t>
      </w:r>
    </w:p>
    <w:p w:rsidR="00B16FFD" w:rsidRPr="009A1C14" w:rsidRDefault="00007F89">
      <w:pPr>
        <w:autoSpaceDE w:val="0"/>
        <w:autoSpaceDN w:val="0"/>
        <w:adjustRightInd w:val="0"/>
        <w:ind w:firstLineChars="200" w:firstLine="420"/>
        <w:jc w:val="left"/>
        <w:rPr>
          <w:rFonts w:ascii="黑体" w:eastAsia="黑体" w:hAnsi="黑体" w:cs="宋体"/>
          <w:kern w:val="0"/>
          <w:szCs w:val="21"/>
        </w:rPr>
      </w:pPr>
      <w:r w:rsidRPr="009A1C14">
        <w:rPr>
          <w:rFonts w:ascii="黑体" w:eastAsia="黑体" w:hAnsi="黑体" w:cs="宋体" w:hint="eastAsia"/>
          <w:kern w:val="0"/>
          <w:szCs w:val="21"/>
        </w:rPr>
        <w:t>12、法律、法规、国务院银行业监督管理机构规定、理财产品销售文件约定的其他职责。</w:t>
      </w:r>
    </w:p>
    <w:p w:rsidR="00B16FFD" w:rsidRPr="009A1C14" w:rsidRDefault="00B16FFD">
      <w:pPr>
        <w:autoSpaceDE w:val="0"/>
        <w:autoSpaceDN w:val="0"/>
        <w:adjustRightInd w:val="0"/>
        <w:jc w:val="left"/>
        <w:rPr>
          <w:rFonts w:ascii="黑体" w:eastAsia="黑体" w:hAnsi="黑体" w:cs="宋体"/>
          <w:kern w:val="0"/>
          <w:szCs w:val="21"/>
        </w:rPr>
      </w:pPr>
    </w:p>
    <w:p w:rsidR="00B16FFD" w:rsidRPr="009A1C14" w:rsidRDefault="00007F89">
      <w:pPr>
        <w:autoSpaceDE w:val="0"/>
        <w:autoSpaceDN w:val="0"/>
        <w:adjustRightInd w:val="0"/>
        <w:jc w:val="left"/>
        <w:rPr>
          <w:rFonts w:ascii="黑体" w:eastAsia="黑体" w:hAnsi="黑体" w:cs="宋体"/>
          <w:b/>
          <w:kern w:val="0"/>
          <w:szCs w:val="21"/>
        </w:rPr>
      </w:pPr>
      <w:r w:rsidRPr="009A1C14">
        <w:rPr>
          <w:rFonts w:ascii="黑体" w:eastAsia="黑体" w:hAnsi="黑体" w:cs="宋体" w:hint="eastAsia"/>
          <w:b/>
          <w:kern w:val="0"/>
          <w:szCs w:val="21"/>
        </w:rPr>
        <w:t>九、投资合作机构</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投资合作机构的主要职责为进行受托资金的投资管理，根据合同约定从事受托投资或提供投资顾问等服务，具体职责以产品管理人与投资合作机构签署的合同为准</w:t>
      </w:r>
      <w:bookmarkEnd w:id="5"/>
      <w:r w:rsidRPr="009A1C14">
        <w:rPr>
          <w:rFonts w:ascii="黑体" w:eastAsia="黑体" w:hAnsi="黑体" w:cs="黑体" w:hint="eastAsia"/>
          <w:kern w:val="0"/>
          <w:szCs w:val="21"/>
        </w:rPr>
        <w:t>。</w:t>
      </w:r>
    </w:p>
    <w:p w:rsidR="00B16FFD" w:rsidRPr="009A1C14" w:rsidRDefault="00B16FFD">
      <w:pPr>
        <w:autoSpaceDE w:val="0"/>
        <w:autoSpaceDN w:val="0"/>
        <w:adjustRightInd w:val="0"/>
        <w:ind w:firstLineChars="157" w:firstLine="330"/>
        <w:jc w:val="left"/>
        <w:rPr>
          <w:rFonts w:ascii="黑体" w:eastAsia="黑体" w:hAnsi="黑体" w:cs="宋体"/>
          <w:kern w:val="0"/>
          <w:szCs w:val="21"/>
        </w:rPr>
      </w:pPr>
    </w:p>
    <w:p w:rsidR="00B16FFD" w:rsidRPr="009A1C14" w:rsidRDefault="00007F89">
      <w:pPr>
        <w:autoSpaceDE w:val="0"/>
        <w:autoSpaceDN w:val="0"/>
        <w:adjustRightInd w:val="0"/>
        <w:jc w:val="left"/>
        <w:rPr>
          <w:rFonts w:ascii="黑体" w:eastAsia="黑体" w:hAnsi="黑体" w:cs="宋体"/>
          <w:b/>
          <w:kern w:val="0"/>
          <w:szCs w:val="21"/>
        </w:rPr>
      </w:pPr>
      <w:r w:rsidRPr="009A1C14">
        <w:rPr>
          <w:rFonts w:ascii="黑体" w:eastAsia="黑体" w:hAnsi="黑体" w:cs="宋体" w:hint="eastAsia"/>
          <w:b/>
          <w:kern w:val="0"/>
          <w:szCs w:val="21"/>
        </w:rPr>
        <w:t>十、信息披露</w:t>
      </w:r>
    </w:p>
    <w:p w:rsidR="00B16FFD" w:rsidRPr="009A1C14" w:rsidRDefault="00007F89">
      <w:pPr>
        <w:autoSpaceDE w:val="0"/>
        <w:autoSpaceDN w:val="0"/>
        <w:adjustRightInd w:val="0"/>
        <w:jc w:val="left"/>
        <w:rPr>
          <w:rFonts w:ascii="黑体" w:eastAsia="黑体" w:hAnsi="黑体" w:cs="宋体"/>
          <w:kern w:val="0"/>
          <w:szCs w:val="21"/>
        </w:rPr>
      </w:pPr>
      <w:r w:rsidRPr="009A1C14">
        <w:rPr>
          <w:rFonts w:ascii="黑体" w:eastAsia="黑体" w:hAnsi="黑体" w:cs="宋体" w:hint="eastAsia"/>
          <w:kern w:val="0"/>
          <w:szCs w:val="21"/>
        </w:rPr>
        <w:t>（一</w:t>
      </w:r>
      <w:r w:rsidRPr="009A1C14">
        <w:rPr>
          <w:rFonts w:ascii="黑体" w:eastAsia="黑体" w:hAnsi="黑体" w:cs="宋体"/>
          <w:kern w:val="0"/>
          <w:szCs w:val="21"/>
        </w:rPr>
        <w:t>）信息披露内容</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产品管理人将于产品募集期间、存续期间和终止时，通过</w:t>
      </w:r>
      <w:r w:rsidR="00D31942" w:rsidRPr="009A1C14">
        <w:rPr>
          <w:rFonts w:ascii="黑体" w:eastAsia="黑体" w:hAnsi="黑体" w:cs="黑体" w:hint="eastAsia"/>
          <w:kern w:val="0"/>
          <w:szCs w:val="21"/>
        </w:rPr>
        <w:t>宁银理财官网（www.wmbnb.com)、宁银理财相关产品代理销售机构官方渠道或其他适当的方式</w:t>
      </w:r>
      <w:r w:rsidRPr="009A1C14">
        <w:rPr>
          <w:rFonts w:ascii="黑体" w:eastAsia="黑体" w:hAnsi="黑体" w:cs="黑体" w:hint="eastAsia"/>
          <w:kern w:val="0"/>
          <w:szCs w:val="21"/>
        </w:rPr>
        <w:t>披露以下产品信息：</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1、理财产品销售文件，包括《理财产品说明书》、《风险揭示书》、《销售（代理销售）协议书》、《投资协议书》和《投资者权益须知》等有关文件，以及对以上文件的有效修改或补充；</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2、发行公告，包括本产品成立日期和募集规模等信息，产品管理人将在本理财产品成立后5个工作日内披露产品发行公告；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3、定期报告，包括本产品的存续规模、收益表现，并分别列示直接和间接投资的资产种类、投资比例、投资组合的流动性风险分析，前十项资产具体名称、规模和比例，以及在半年和年度报告中产品前10名投资者的类别、持有份额及占总份额的比例等信息。</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本产品存续期间，如出现单一投资者持有产品份额达到或者超过该产品总份额20%的情形，为保障其他投资者的权益，产品管理人将在定期报告中披露该投资者的类别、持有份额及占比、持有份额变化情况及产品风险等信息，</w:t>
      </w:r>
      <w:r w:rsidR="00E03532" w:rsidRPr="009A1C14">
        <w:rPr>
          <w:rFonts w:ascii="黑体" w:eastAsia="黑体" w:hAnsi="黑体" w:cs="黑体" w:hint="eastAsia"/>
          <w:kern w:val="0"/>
          <w:szCs w:val="21"/>
        </w:rPr>
        <w:t>国家金融监督管理总局</w:t>
      </w:r>
      <w:r w:rsidRPr="009A1C14">
        <w:rPr>
          <w:rFonts w:ascii="黑体" w:eastAsia="黑体" w:hAnsi="黑体" w:cs="黑体" w:hint="eastAsia"/>
          <w:kern w:val="0"/>
          <w:szCs w:val="21"/>
        </w:rPr>
        <w:t>认定的特殊情形除外。</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4、到期公告，包括本产品的存续期限、终止日期、收费情况和收益分配情况等信息，产品管理人将在本理财产品终止后5个工作日内披露产品到期公告；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lastRenderedPageBreak/>
        <w:t>5、重大事项公告；</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6、临时性信息披露；</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7、国务院银行业监督管理机构规定的其他信息；</w:t>
      </w:r>
    </w:p>
    <w:p w:rsidR="00B16FFD" w:rsidRPr="009A1C14" w:rsidRDefault="00007F89">
      <w:pPr>
        <w:autoSpaceDE w:val="0"/>
        <w:autoSpaceDN w:val="0"/>
        <w:adjustRightInd w:val="0"/>
        <w:ind w:firstLineChars="200" w:firstLine="420"/>
        <w:jc w:val="left"/>
        <w:rPr>
          <w:rFonts w:ascii="黑体" w:eastAsia="黑体" w:hAnsi="黑体" w:cs="黑体"/>
          <w:kern w:val="0"/>
          <w:szCs w:val="21"/>
        </w:rPr>
      </w:pPr>
      <w:r w:rsidRPr="009A1C14">
        <w:rPr>
          <w:rFonts w:ascii="黑体" w:eastAsia="黑体" w:hAnsi="黑体" w:cs="黑体" w:hint="eastAsia"/>
          <w:kern w:val="0"/>
          <w:szCs w:val="21"/>
        </w:rPr>
        <w:t>8、产品管理人认为需要披露的其他信息。</w:t>
      </w:r>
    </w:p>
    <w:p w:rsidR="00B16FFD" w:rsidRPr="009A1C14" w:rsidRDefault="00007F89">
      <w:pPr>
        <w:autoSpaceDE w:val="0"/>
        <w:autoSpaceDN w:val="0"/>
        <w:adjustRightInd w:val="0"/>
        <w:jc w:val="left"/>
        <w:rPr>
          <w:rFonts w:ascii="黑体" w:eastAsia="黑体" w:hAnsi="黑体" w:cs="宋体"/>
          <w:b/>
          <w:kern w:val="0"/>
          <w:szCs w:val="21"/>
        </w:rPr>
      </w:pPr>
      <w:r w:rsidRPr="009A1C14">
        <w:rPr>
          <w:rFonts w:ascii="黑体" w:eastAsia="黑体" w:hAnsi="黑体" w:cs="宋体" w:hint="eastAsia"/>
          <w:b/>
          <w:kern w:val="0"/>
          <w:szCs w:val="21"/>
        </w:rPr>
        <w:t>（二</w:t>
      </w:r>
      <w:r w:rsidRPr="009A1C14">
        <w:rPr>
          <w:rFonts w:ascii="黑体" w:eastAsia="黑体" w:hAnsi="黑体" w:cs="宋体"/>
          <w:b/>
          <w:kern w:val="0"/>
          <w:szCs w:val="21"/>
        </w:rPr>
        <w:t>）</w:t>
      </w:r>
      <w:r w:rsidRPr="009A1C14">
        <w:rPr>
          <w:rFonts w:ascii="黑体" w:eastAsia="黑体" w:hAnsi="黑体" w:cs="宋体" w:hint="eastAsia"/>
          <w:b/>
          <w:kern w:val="0"/>
          <w:szCs w:val="21"/>
        </w:rPr>
        <w:t>投资者同意，产品管理人或销售机构通过</w:t>
      </w:r>
      <w:r w:rsidRPr="009A1C14">
        <w:rPr>
          <w:rFonts w:ascii="黑体" w:eastAsia="黑体" w:hAnsi="黑体" w:cs="宋体"/>
          <w:b/>
          <w:kern w:val="0"/>
          <w:szCs w:val="21"/>
        </w:rPr>
        <w:t>上述</w:t>
      </w:r>
      <w:r w:rsidRPr="009A1C14">
        <w:rPr>
          <w:rFonts w:ascii="黑体" w:eastAsia="黑体" w:hAnsi="黑体" w:cs="宋体" w:hint="eastAsia"/>
          <w:b/>
          <w:kern w:val="0"/>
          <w:szCs w:val="21"/>
        </w:rPr>
        <w:t>方式及</w:t>
      </w:r>
      <w:r w:rsidRPr="009A1C14">
        <w:rPr>
          <w:rFonts w:ascii="黑体" w:eastAsia="黑体" w:hAnsi="黑体" w:cs="宋体"/>
          <w:b/>
          <w:kern w:val="0"/>
          <w:szCs w:val="21"/>
        </w:rPr>
        <w:t>频率</w:t>
      </w:r>
      <w:r w:rsidRPr="009A1C14">
        <w:rPr>
          <w:rFonts w:ascii="黑体" w:eastAsia="黑体" w:hAnsi="黑体" w:cs="宋体" w:hint="eastAsia"/>
          <w:b/>
          <w:kern w:val="0"/>
          <w:szCs w:val="21"/>
        </w:rPr>
        <w:t>进行信息披露，</w:t>
      </w:r>
      <w:r w:rsidRPr="009A1C14">
        <w:rPr>
          <w:rFonts w:ascii="黑体" w:eastAsia="黑体" w:hAnsi="黑体" w:cs="宋体"/>
          <w:b/>
          <w:kern w:val="0"/>
          <w:szCs w:val="21"/>
        </w:rPr>
        <w:t>视为完全履行信息</w:t>
      </w:r>
      <w:r w:rsidRPr="009A1C14">
        <w:rPr>
          <w:rFonts w:ascii="黑体" w:eastAsia="黑体" w:hAnsi="黑体" w:cs="宋体" w:hint="eastAsia"/>
          <w:b/>
          <w:kern w:val="0"/>
          <w:szCs w:val="21"/>
        </w:rPr>
        <w:t>披露</w:t>
      </w:r>
      <w:r w:rsidRPr="009A1C14">
        <w:rPr>
          <w:rFonts w:ascii="黑体" w:eastAsia="黑体" w:hAnsi="黑体" w:cs="宋体"/>
          <w:b/>
          <w:kern w:val="0"/>
          <w:szCs w:val="21"/>
        </w:rPr>
        <w:t>义务</w:t>
      </w:r>
      <w:r w:rsidRPr="009A1C14">
        <w:rPr>
          <w:rFonts w:ascii="黑体" w:eastAsia="黑体" w:hAnsi="黑体" w:cs="宋体" w:hint="eastAsia"/>
          <w:b/>
          <w:kern w:val="0"/>
          <w:szCs w:val="21"/>
        </w:rPr>
        <w:t>，如果投资者未及时查询，或由于通讯故障、非产品管理人原因的系统故障以及其他不可抗力等因素的影响</w:t>
      </w:r>
      <w:r w:rsidRPr="009A1C14">
        <w:rPr>
          <w:rFonts w:ascii="黑体" w:eastAsia="黑体" w:hAnsi="黑体" w:cs="宋体"/>
          <w:b/>
          <w:kern w:val="0"/>
          <w:szCs w:val="21"/>
        </w:rPr>
        <w:t>,致使</w:t>
      </w:r>
      <w:r w:rsidRPr="009A1C14">
        <w:rPr>
          <w:rFonts w:ascii="黑体" w:eastAsia="黑体" w:hAnsi="黑体" w:cs="宋体" w:hint="eastAsia"/>
          <w:b/>
          <w:kern w:val="0"/>
          <w:szCs w:val="21"/>
        </w:rPr>
        <w:t>投资者无法及时了解产品信息，因此而产生的（包括但不限于因未及时获知信息而错过资金使用和再投资的机会等）全部责任和风险，由投资者自行承担。</w:t>
      </w:r>
    </w:p>
    <w:p w:rsidR="00B16FFD" w:rsidRPr="009A1C14" w:rsidRDefault="00B16FFD">
      <w:pPr>
        <w:autoSpaceDE w:val="0"/>
        <w:autoSpaceDN w:val="0"/>
        <w:adjustRightInd w:val="0"/>
        <w:ind w:firstLineChars="157" w:firstLine="330"/>
        <w:jc w:val="left"/>
        <w:rPr>
          <w:rFonts w:ascii="黑体" w:eastAsia="黑体" w:hAnsi="黑体" w:cs="宋体"/>
          <w:kern w:val="0"/>
          <w:szCs w:val="21"/>
        </w:rPr>
      </w:pPr>
    </w:p>
    <w:p w:rsidR="00B16FFD" w:rsidRPr="009A1C14" w:rsidRDefault="00007F89">
      <w:pPr>
        <w:autoSpaceDE w:val="0"/>
        <w:autoSpaceDN w:val="0"/>
        <w:adjustRightInd w:val="0"/>
        <w:jc w:val="left"/>
        <w:rPr>
          <w:rFonts w:ascii="黑体" w:eastAsia="黑体" w:hAnsi="黑体" w:cs="黑体"/>
          <w:b/>
          <w:kern w:val="0"/>
          <w:szCs w:val="21"/>
        </w:rPr>
      </w:pPr>
      <w:r w:rsidRPr="009A1C14">
        <w:rPr>
          <w:rFonts w:ascii="黑体" w:eastAsia="黑体" w:hAnsi="黑体" w:cs="黑体" w:hint="eastAsia"/>
          <w:b/>
          <w:kern w:val="0"/>
          <w:szCs w:val="21"/>
        </w:rPr>
        <w:t>十一、特别提示</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1、</w:t>
      </w:r>
      <w:r w:rsidRPr="009A1C14">
        <w:rPr>
          <w:rFonts w:ascii="黑体" w:eastAsia="黑体" w:hAnsi="黑体" w:cs="宋体" w:hint="eastAsia"/>
          <w:b/>
          <w:kern w:val="0"/>
          <w:szCs w:val="21"/>
        </w:rPr>
        <w:t>本产品业绩比较基准仅供投资者参考，并不作为产品管理人向投资者支付本产品本金</w:t>
      </w:r>
      <w:r w:rsidRPr="009A1C14">
        <w:rPr>
          <w:rFonts w:ascii="黑体" w:eastAsia="黑体" w:hAnsi="黑体" w:cs="宋体"/>
          <w:b/>
          <w:kern w:val="0"/>
          <w:szCs w:val="21"/>
        </w:rPr>
        <w:t>或</w:t>
      </w:r>
      <w:r w:rsidRPr="009A1C14">
        <w:rPr>
          <w:rFonts w:ascii="黑体" w:eastAsia="黑体" w:hAnsi="黑体" w:cs="宋体" w:hint="eastAsia"/>
          <w:b/>
          <w:kern w:val="0"/>
          <w:szCs w:val="21"/>
        </w:rPr>
        <w:t>收益的承诺；投资者所能获得的最终收益以产品实际</w:t>
      </w:r>
      <w:r w:rsidRPr="009A1C14">
        <w:rPr>
          <w:rFonts w:ascii="黑体" w:eastAsia="黑体" w:hAnsi="黑体" w:cs="宋体"/>
          <w:b/>
          <w:kern w:val="0"/>
          <w:szCs w:val="21"/>
        </w:rPr>
        <w:t>情况</w:t>
      </w:r>
      <w:r w:rsidRPr="009A1C14">
        <w:rPr>
          <w:rFonts w:ascii="黑体" w:eastAsia="黑体" w:hAnsi="黑体" w:cs="宋体" w:hint="eastAsia"/>
          <w:b/>
          <w:kern w:val="0"/>
          <w:szCs w:val="21"/>
        </w:rPr>
        <w:t>为准。</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2</w:t>
      </w:r>
      <w:r w:rsidRPr="009A1C14">
        <w:rPr>
          <w:rFonts w:ascii="黑体" w:eastAsia="黑体" w:hAnsi="黑体" w:cs="宋体" w:hint="eastAsia"/>
          <w:b/>
          <w:kern w:val="0"/>
          <w:szCs w:val="21"/>
        </w:rPr>
        <w:t>、投资者在投资前，请仔细阅读本说明书，并作出独立的投资决策。</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3、产品管理人</w:t>
      </w:r>
      <w:r w:rsidRPr="009A1C14">
        <w:rPr>
          <w:rFonts w:ascii="黑体" w:eastAsia="黑体" w:hAnsi="黑体" w:cs="宋体" w:hint="eastAsia"/>
          <w:b/>
          <w:kern w:val="0"/>
          <w:szCs w:val="21"/>
        </w:rPr>
        <w:t>将恪守勤勉尽责的原则，合理配置资产组合，为投资者提供专业化的理财服务。</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4</w:t>
      </w:r>
      <w:r w:rsidRPr="009A1C14">
        <w:rPr>
          <w:rFonts w:ascii="黑体" w:eastAsia="黑体" w:hAnsi="黑体" w:cs="宋体" w:hint="eastAsia"/>
          <w:b/>
          <w:kern w:val="0"/>
          <w:szCs w:val="21"/>
        </w:rPr>
        <w:t>、投资者应密切关注产品管理人或销售机构发布的与本产品有关的信息披露公告，以免造成不必要的损失。</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5、</w:t>
      </w:r>
      <w:r w:rsidRPr="009A1C14">
        <w:rPr>
          <w:rFonts w:ascii="黑体" w:eastAsia="黑体" w:hAnsi="黑体" w:cs="宋体" w:hint="eastAsia"/>
          <w:b/>
          <w:kern w:val="0"/>
          <w:szCs w:val="21"/>
        </w:rPr>
        <w:t>在本产品的实际运作管理过程中，若相关法律法规或政策另有规定，从其规定。</w:t>
      </w:r>
    </w:p>
    <w:p w:rsidR="00B16FFD" w:rsidRPr="009A1C14" w:rsidRDefault="00007F89">
      <w:pPr>
        <w:autoSpaceDE w:val="0"/>
        <w:autoSpaceDN w:val="0"/>
        <w:adjustRightInd w:val="0"/>
        <w:ind w:firstLineChars="200" w:firstLine="422"/>
        <w:jc w:val="left"/>
        <w:rPr>
          <w:rFonts w:ascii="黑体" w:eastAsia="黑体" w:hAnsi="黑体" w:cs="宋体"/>
          <w:b/>
          <w:kern w:val="0"/>
          <w:szCs w:val="21"/>
        </w:rPr>
      </w:pPr>
      <w:r w:rsidRPr="009A1C14">
        <w:rPr>
          <w:rFonts w:ascii="黑体" w:eastAsia="黑体" w:hAnsi="黑体" w:cs="宋体"/>
          <w:b/>
          <w:kern w:val="0"/>
          <w:szCs w:val="21"/>
        </w:rPr>
        <w:t>6</w:t>
      </w:r>
      <w:r w:rsidRPr="009A1C14">
        <w:rPr>
          <w:rFonts w:ascii="黑体" w:eastAsia="黑体" w:hAnsi="黑体" w:cs="宋体" w:hint="eastAsia"/>
          <w:b/>
          <w:kern w:val="0"/>
          <w:szCs w:val="21"/>
        </w:rPr>
        <w:t>、</w:t>
      </w:r>
      <w:r w:rsidRPr="009A1C14">
        <w:rPr>
          <w:rFonts w:ascii="黑体" w:eastAsia="黑体" w:hAnsi="黑体" w:cs="宋体"/>
          <w:b/>
          <w:kern w:val="0"/>
          <w:szCs w:val="21"/>
        </w:rPr>
        <w:t>其他</w:t>
      </w:r>
      <w:r w:rsidRPr="009A1C14">
        <w:rPr>
          <w:rFonts w:ascii="黑体" w:eastAsia="黑体" w:hAnsi="黑体" w:cs="宋体" w:hint="eastAsia"/>
          <w:b/>
          <w:kern w:val="0"/>
          <w:szCs w:val="21"/>
        </w:rPr>
        <w:t>：无</w:t>
      </w:r>
    </w:p>
    <w:p w:rsidR="00B16FFD" w:rsidRPr="009A1C14" w:rsidRDefault="00B16FFD">
      <w:pPr>
        <w:autoSpaceDE w:val="0"/>
        <w:autoSpaceDN w:val="0"/>
        <w:adjustRightInd w:val="0"/>
        <w:ind w:firstLineChars="200" w:firstLine="420"/>
        <w:jc w:val="left"/>
        <w:rPr>
          <w:rFonts w:ascii="黑体" w:eastAsia="黑体" w:hAnsi="黑体" w:cs="宋体"/>
          <w:kern w:val="0"/>
          <w:szCs w:val="21"/>
        </w:rPr>
      </w:pPr>
    </w:p>
    <w:p w:rsidR="00B16FFD" w:rsidRPr="009A1C14" w:rsidRDefault="00007F89">
      <w:pPr>
        <w:rPr>
          <w:rFonts w:ascii="黑体" w:eastAsia="黑体" w:hAnsi="黑体"/>
          <w:b/>
          <w:szCs w:val="21"/>
        </w:rPr>
      </w:pPr>
      <w:r w:rsidRPr="009A1C14">
        <w:rPr>
          <w:rFonts w:ascii="黑体" w:eastAsia="黑体" w:hAnsi="黑体" w:hint="eastAsia"/>
          <w:b/>
          <w:szCs w:val="21"/>
        </w:rPr>
        <w:t>十二、其他</w:t>
      </w:r>
    </w:p>
    <w:p w:rsidR="00B16FFD" w:rsidRPr="009A1C14" w:rsidRDefault="00007F89">
      <w:pPr>
        <w:autoSpaceDE w:val="0"/>
        <w:autoSpaceDN w:val="0"/>
        <w:adjustRightInd w:val="0"/>
        <w:ind w:firstLineChars="200" w:firstLine="422"/>
        <w:jc w:val="left"/>
        <w:rPr>
          <w:rFonts w:ascii="黑体" w:eastAsia="黑体" w:hAnsi="黑体"/>
          <w:b/>
          <w:szCs w:val="21"/>
        </w:rPr>
      </w:pPr>
      <w:r w:rsidRPr="009A1C14">
        <w:rPr>
          <w:rFonts w:ascii="黑体" w:eastAsia="黑体" w:hAnsi="黑体"/>
          <w:b/>
          <w:szCs w:val="21"/>
        </w:rPr>
        <w:t>1、</w:t>
      </w:r>
      <w:r w:rsidRPr="009A1C14">
        <w:rPr>
          <w:rFonts w:ascii="黑体" w:eastAsia="黑体" w:hAnsi="黑体" w:hint="eastAsia"/>
          <w:b/>
          <w:szCs w:val="21"/>
        </w:rPr>
        <w:t>除</w:t>
      </w:r>
      <w:r w:rsidRPr="009A1C14">
        <w:rPr>
          <w:rFonts w:ascii="黑体" w:eastAsia="黑体" w:hAnsi="黑体"/>
          <w:b/>
          <w:szCs w:val="21"/>
        </w:rPr>
        <w:t>产品管理人</w:t>
      </w:r>
      <w:r w:rsidRPr="009A1C14">
        <w:rPr>
          <w:rFonts w:ascii="黑体" w:eastAsia="黑体" w:hAnsi="黑体" w:hint="eastAsia"/>
          <w:b/>
          <w:szCs w:val="21"/>
        </w:rPr>
        <w:t>同意外</w:t>
      </w:r>
      <w:r w:rsidRPr="009A1C14">
        <w:rPr>
          <w:rFonts w:ascii="黑体" w:eastAsia="黑体" w:hAnsi="黑体"/>
          <w:b/>
          <w:szCs w:val="21"/>
        </w:rPr>
        <w:t>，本产品</w:t>
      </w:r>
      <w:r w:rsidRPr="009A1C14">
        <w:rPr>
          <w:rFonts w:ascii="黑体" w:eastAsia="黑体" w:hAnsi="黑体" w:hint="eastAsia"/>
          <w:b/>
          <w:szCs w:val="21"/>
        </w:rPr>
        <w:t>不</w:t>
      </w:r>
      <w:r w:rsidRPr="009A1C14">
        <w:rPr>
          <w:rFonts w:ascii="黑体" w:eastAsia="黑体" w:hAnsi="黑体"/>
          <w:b/>
          <w:szCs w:val="21"/>
        </w:rPr>
        <w:t>允许投资者</w:t>
      </w:r>
      <w:r w:rsidRPr="009A1C14">
        <w:rPr>
          <w:rFonts w:ascii="黑体" w:eastAsia="黑体" w:hAnsi="黑体" w:hint="eastAsia"/>
          <w:b/>
          <w:szCs w:val="21"/>
        </w:rPr>
        <w:t>办理</w:t>
      </w:r>
      <w:r w:rsidRPr="009A1C14">
        <w:rPr>
          <w:rFonts w:ascii="黑体" w:eastAsia="黑体" w:hAnsi="黑体"/>
          <w:b/>
          <w:szCs w:val="21"/>
        </w:rPr>
        <w:t>提前赎回</w:t>
      </w:r>
      <w:r w:rsidRPr="009A1C14">
        <w:rPr>
          <w:rFonts w:ascii="黑体" w:eastAsia="黑体" w:hAnsi="黑体" w:hint="eastAsia"/>
          <w:b/>
          <w:szCs w:val="21"/>
        </w:rPr>
        <w:t>。</w:t>
      </w:r>
    </w:p>
    <w:p w:rsidR="00B16FFD" w:rsidRPr="009A1C14" w:rsidRDefault="00007F89">
      <w:pPr>
        <w:autoSpaceDE w:val="0"/>
        <w:autoSpaceDN w:val="0"/>
        <w:adjustRightInd w:val="0"/>
        <w:ind w:firstLineChars="200" w:firstLine="422"/>
        <w:jc w:val="left"/>
        <w:rPr>
          <w:rFonts w:ascii="黑体" w:eastAsia="黑体" w:hAnsi="黑体"/>
          <w:b/>
          <w:szCs w:val="21"/>
        </w:rPr>
      </w:pPr>
      <w:r w:rsidRPr="009A1C14">
        <w:rPr>
          <w:rFonts w:ascii="黑体" w:eastAsia="黑体" w:hAnsi="黑体"/>
          <w:b/>
          <w:szCs w:val="21"/>
        </w:rPr>
        <w:t>2</w:t>
      </w:r>
      <w:r w:rsidRPr="009A1C14">
        <w:rPr>
          <w:rFonts w:ascii="黑体" w:eastAsia="黑体" w:hAnsi="黑体" w:hint="eastAsia"/>
          <w:b/>
          <w:szCs w:val="21"/>
        </w:rPr>
        <w:t>、</w:t>
      </w:r>
      <w:r w:rsidRPr="009A1C14">
        <w:rPr>
          <w:rFonts w:ascii="黑体" w:eastAsia="黑体" w:hAnsi="黑体"/>
          <w:b/>
          <w:szCs w:val="21"/>
        </w:rPr>
        <w:t>其他</w:t>
      </w:r>
      <w:r w:rsidRPr="009A1C14">
        <w:rPr>
          <w:rFonts w:ascii="黑体" w:eastAsia="黑体" w:hAnsi="黑体" w:hint="eastAsia"/>
          <w:b/>
          <w:szCs w:val="21"/>
        </w:rPr>
        <w:t>：无</w:t>
      </w:r>
    </w:p>
    <w:p w:rsidR="00B16FFD" w:rsidRPr="009A1C14" w:rsidRDefault="00B16FFD">
      <w:pPr>
        <w:autoSpaceDE w:val="0"/>
        <w:autoSpaceDN w:val="0"/>
        <w:adjustRightInd w:val="0"/>
        <w:ind w:firstLineChars="200" w:firstLine="420"/>
        <w:jc w:val="left"/>
        <w:rPr>
          <w:rFonts w:ascii="黑体" w:eastAsia="黑体" w:hAnsi="黑体"/>
          <w:szCs w:val="21"/>
        </w:rPr>
      </w:pPr>
    </w:p>
    <w:p w:rsidR="00B16FFD" w:rsidRPr="009A1C14" w:rsidRDefault="00007F89">
      <w:pPr>
        <w:autoSpaceDE w:val="0"/>
        <w:autoSpaceDN w:val="0"/>
        <w:adjustRightInd w:val="0"/>
        <w:ind w:firstLineChars="200" w:firstLine="422"/>
        <w:jc w:val="left"/>
        <w:rPr>
          <w:rFonts w:ascii="黑体" w:eastAsia="黑体" w:hAnsi="黑体"/>
          <w:b/>
          <w:szCs w:val="21"/>
        </w:rPr>
      </w:pPr>
      <w:r w:rsidRPr="009A1C14">
        <w:rPr>
          <w:rFonts w:ascii="黑体" w:eastAsia="黑体" w:hAnsi="黑体" w:hint="eastAsia"/>
          <w:b/>
          <w:szCs w:val="21"/>
        </w:rPr>
        <w:t>以下内容由投资者确认并</w:t>
      </w:r>
      <w:r w:rsidRPr="009A1C14">
        <w:rPr>
          <w:rFonts w:ascii="黑体" w:eastAsia="黑体" w:hAnsi="黑体"/>
          <w:b/>
          <w:szCs w:val="21"/>
        </w:rPr>
        <w:t>签字</w:t>
      </w:r>
      <w:r w:rsidRPr="009A1C14">
        <w:rPr>
          <w:rFonts w:ascii="黑体" w:eastAsia="黑体" w:hAnsi="黑体" w:hint="eastAsia"/>
          <w:b/>
          <w:szCs w:val="21"/>
        </w:rPr>
        <w:t>（机构投资者需盖章），如通过线上渠道购买，认（申）购确认即视为投资者同意并确认下述内容：</w:t>
      </w:r>
    </w:p>
    <w:p w:rsidR="00B16FFD" w:rsidRPr="009A1C14" w:rsidRDefault="00007F89">
      <w:pPr>
        <w:autoSpaceDE w:val="0"/>
        <w:autoSpaceDN w:val="0"/>
        <w:adjustRightInd w:val="0"/>
        <w:ind w:firstLineChars="200" w:firstLine="420"/>
        <w:jc w:val="left"/>
        <w:rPr>
          <w:rFonts w:ascii="黑体" w:eastAsia="黑体" w:hAnsi="黑体"/>
          <w:szCs w:val="21"/>
        </w:rPr>
      </w:pPr>
      <w:r w:rsidRPr="009A1C14">
        <w:rPr>
          <w:rFonts w:ascii="黑体" w:eastAsia="黑体" w:hAnsi="黑体" w:hint="eastAsia"/>
          <w:szCs w:val="21"/>
        </w:rPr>
        <w:t>声明：本人/本机构充分阅读本</w:t>
      </w:r>
      <w:r w:rsidRPr="009A1C14">
        <w:rPr>
          <w:rFonts w:ascii="黑体" w:eastAsia="黑体" w:hAnsi="黑体"/>
          <w:szCs w:val="21"/>
        </w:rPr>
        <w:t>说明书及</w:t>
      </w:r>
      <w:r w:rsidRPr="009A1C14">
        <w:rPr>
          <w:rFonts w:ascii="黑体" w:eastAsia="黑体" w:hAnsi="黑体" w:hint="eastAsia"/>
          <w:szCs w:val="21"/>
        </w:rPr>
        <w:t>本理财产品的《风险揭示书》、《销售（代理销售）协议书》、《投资协议书》、《投资者权益须知》等理财产品销售文件，已全面、准确地理解本产品，充分认识到投资本产品需要承担的风险，并自愿承担此风险。</w:t>
      </w:r>
    </w:p>
    <w:p w:rsidR="00B16FFD" w:rsidRPr="009A1C14" w:rsidRDefault="00B16FFD">
      <w:pPr>
        <w:autoSpaceDE w:val="0"/>
        <w:autoSpaceDN w:val="0"/>
        <w:adjustRightInd w:val="0"/>
        <w:ind w:firstLineChars="200" w:firstLine="420"/>
        <w:jc w:val="left"/>
        <w:rPr>
          <w:rFonts w:ascii="黑体" w:eastAsia="黑体" w:hAnsi="黑体"/>
          <w:szCs w:val="21"/>
        </w:rPr>
      </w:pPr>
    </w:p>
    <w:p w:rsidR="00B16FFD" w:rsidRDefault="00007F89">
      <w:pPr>
        <w:autoSpaceDE w:val="0"/>
        <w:autoSpaceDN w:val="0"/>
        <w:adjustRightInd w:val="0"/>
        <w:ind w:firstLineChars="200" w:firstLine="422"/>
        <w:jc w:val="left"/>
        <w:rPr>
          <w:rFonts w:ascii="黑体" w:eastAsia="黑体" w:hAnsi="黑体"/>
          <w:b/>
          <w:szCs w:val="21"/>
        </w:rPr>
      </w:pPr>
      <w:r w:rsidRPr="009A1C14">
        <w:rPr>
          <w:rFonts w:ascii="黑体" w:eastAsia="黑体" w:hAnsi="黑体" w:hint="eastAsia"/>
          <w:b/>
          <w:szCs w:val="21"/>
        </w:rPr>
        <w:t>投资者签字（或盖章）____________                  日期_______________</w:t>
      </w:r>
    </w:p>
    <w:p w:rsidR="00FC1DA6" w:rsidRDefault="006A53B6">
      <w:r>
        <w:br w:type="page"/>
      </w:r>
    </w:p>
    <w:p w:rsidR="00D0166A" w:rsidRPr="004A599D" w:rsidRDefault="006A53B6" w:rsidP="004A599D">
      <w:pPr>
        <w:pStyle w:val="Normalfd659043"/>
        <w:jc w:val="center"/>
      </w:pPr>
      <w:r w:rsidRPr="004A599D">
        <w:rPr>
          <w:rFonts w:ascii="黑体" w:hAnsi="宋体" w:hint="eastAsia"/>
          <w:b/>
          <w:sz w:val="44"/>
        </w:rPr>
        <w:lastRenderedPageBreak/>
        <w:t>宁银理财</w:t>
      </w:r>
      <w:r>
        <w:rPr>
          <w:rFonts w:ascii="黑体" w:eastAsia="黑体" w:hAnsi="宋体" w:cs="Times New Roman" w:hint="eastAsia"/>
          <w:b/>
          <w:sz w:val="44"/>
          <w:szCs w:val="44"/>
        </w:rPr>
        <w:t>有限责任公司</w:t>
      </w:r>
      <w:r w:rsidRPr="004A599D">
        <w:rPr>
          <w:rFonts w:ascii="黑体" w:hAnsi="宋体"/>
          <w:b/>
          <w:sz w:val="44"/>
        </w:rPr>
        <w:t>产品</w:t>
      </w:r>
      <w:r w:rsidRPr="004A599D">
        <w:rPr>
          <w:rFonts w:ascii="黑体" w:hAnsi="宋体" w:hint="eastAsia"/>
          <w:b/>
          <w:sz w:val="44"/>
        </w:rPr>
        <w:t>投资</w:t>
      </w:r>
      <w:r w:rsidRPr="004A599D">
        <w:rPr>
          <w:rFonts w:ascii="黑体" w:hAnsi="宋体"/>
          <w:b/>
          <w:sz w:val="44"/>
        </w:rPr>
        <w:t>协议</w:t>
      </w:r>
      <w:r w:rsidRPr="004A599D">
        <w:rPr>
          <w:rFonts w:ascii="黑体" w:hAnsi="宋体" w:hint="eastAsia"/>
          <w:b/>
          <w:sz w:val="44"/>
        </w:rPr>
        <w:t>书</w:t>
      </w:r>
    </w:p>
    <w:p w:rsidR="00D0166A" w:rsidRPr="004A599D" w:rsidRDefault="006A53B6">
      <w:pPr>
        <w:pStyle w:val="Normalfd659043"/>
        <w:adjustRightInd w:val="0"/>
        <w:snapToGrid w:val="0"/>
        <w:spacing w:line="312" w:lineRule="auto"/>
        <w:jc w:val="center"/>
        <w:rPr>
          <w:rFonts w:ascii="宋体" w:hAnsi="宋体"/>
          <w:b/>
          <w:sz w:val="24"/>
        </w:rPr>
      </w:pPr>
      <w:r w:rsidRPr="004A599D">
        <w:rPr>
          <w:rFonts w:ascii="宋体" w:hAnsi="宋体" w:hint="eastAsia"/>
          <w:b/>
          <w:sz w:val="24"/>
        </w:rPr>
        <w:t>（</w:t>
      </w:r>
      <w:r>
        <w:rPr>
          <w:rFonts w:ascii="宋体" w:hAnsi="宋体"/>
          <w:b/>
          <w:sz w:val="24"/>
        </w:rPr>
        <w:t>202304</w:t>
      </w:r>
      <w:r w:rsidRPr="004A599D">
        <w:rPr>
          <w:rFonts w:ascii="宋体" w:hAnsi="宋体" w:hint="eastAsia"/>
          <w:b/>
          <w:sz w:val="24"/>
        </w:rPr>
        <w:t>版）</w:t>
      </w:r>
    </w:p>
    <w:p w:rsidR="00D0166A" w:rsidRPr="004A599D" w:rsidRDefault="006A53B6">
      <w:pPr>
        <w:pStyle w:val="Normalfd659043"/>
        <w:adjustRightInd w:val="0"/>
        <w:snapToGrid w:val="0"/>
        <w:spacing w:line="312" w:lineRule="auto"/>
        <w:jc w:val="center"/>
        <w:rPr>
          <w:rFonts w:ascii="宋体" w:hAnsi="宋体"/>
          <w:b/>
          <w:sz w:val="24"/>
        </w:rPr>
      </w:pP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hint="eastAsia"/>
          <w:sz w:val="24"/>
        </w:rPr>
        <w:t>宁银理财有限责任公司（以下简称“乙方”）与其发行理财产品的购买方（以下简称“甲方”）经平等友好协商，本着自愿、诚实信用的原则，就</w:t>
      </w:r>
      <w:r>
        <w:rPr>
          <w:rFonts w:hint="eastAsia"/>
          <w:sz w:val="24"/>
        </w:rPr>
        <w:t>甲方</w:t>
      </w:r>
      <w:r>
        <w:rPr>
          <w:sz w:val="24"/>
        </w:rPr>
        <w:t>投资乙方发行管理的本</w:t>
      </w:r>
      <w:r>
        <w:rPr>
          <w:rFonts w:hint="eastAsia"/>
          <w:sz w:val="24"/>
        </w:rPr>
        <w:t>理财</w:t>
      </w:r>
      <w:r>
        <w:rPr>
          <w:sz w:val="24"/>
        </w:rPr>
        <w:t>产品、接受乙方提供</w:t>
      </w:r>
      <w:r>
        <w:rPr>
          <w:rFonts w:hint="eastAsia"/>
          <w:sz w:val="24"/>
        </w:rPr>
        <w:t>的本</w:t>
      </w:r>
      <w:r>
        <w:rPr>
          <w:sz w:val="24"/>
        </w:rPr>
        <w:t>理财</w:t>
      </w:r>
      <w:r>
        <w:rPr>
          <w:rFonts w:hint="eastAsia"/>
          <w:sz w:val="24"/>
        </w:rPr>
        <w:t>产品</w:t>
      </w:r>
      <w:r>
        <w:rPr>
          <w:sz w:val="24"/>
        </w:rPr>
        <w:t>相关</w:t>
      </w:r>
      <w:r>
        <w:rPr>
          <w:rFonts w:hint="eastAsia"/>
          <w:sz w:val="24"/>
        </w:rPr>
        <w:t>的投资</w:t>
      </w:r>
      <w:r>
        <w:rPr>
          <w:sz w:val="24"/>
        </w:rPr>
        <w:t>服务等事宜，</w:t>
      </w:r>
      <w:r>
        <w:rPr>
          <w:rFonts w:hint="eastAsia"/>
          <w:sz w:val="24"/>
        </w:rPr>
        <w:t>达成如下协议（以下简称“本协议”）：</w:t>
      </w:r>
    </w:p>
    <w:p w:rsidR="00D0166A" w:rsidRPr="004A599D" w:rsidRDefault="006A53B6" w:rsidP="004A599D">
      <w:pPr>
        <w:pStyle w:val="ListParagraph4b42f0ce"/>
        <w:numPr>
          <w:ilvl w:val="0"/>
          <w:numId w:val="1"/>
        </w:numPr>
        <w:spacing w:line="360" w:lineRule="auto"/>
        <w:ind w:firstLineChars="0"/>
        <w:rPr>
          <w:rFonts w:ascii="宋体" w:hAnsi="宋体"/>
          <w:b/>
          <w:sz w:val="24"/>
        </w:rPr>
      </w:pPr>
      <w:r w:rsidRPr="004A599D">
        <w:rPr>
          <w:rFonts w:ascii="宋体" w:hAnsi="宋体" w:hint="eastAsia"/>
          <w:b/>
          <w:sz w:val="24"/>
        </w:rPr>
        <w:t>重要提示</w:t>
      </w:r>
    </w:p>
    <w:p w:rsidR="00D0166A" w:rsidRPr="004A599D" w:rsidRDefault="006A53B6">
      <w:pPr>
        <w:pStyle w:val="Normalfd659043"/>
        <w:spacing w:line="360" w:lineRule="auto"/>
        <w:ind w:firstLineChars="200" w:firstLine="482"/>
        <w:rPr>
          <w:rFonts w:ascii="宋体" w:eastAsia="黑体" w:hAnsi="宋体"/>
          <w:sz w:val="24"/>
        </w:rPr>
      </w:pPr>
      <w:r w:rsidRPr="004A599D">
        <w:rPr>
          <w:rFonts w:ascii="宋体" w:hAnsi="宋体" w:hint="eastAsia"/>
          <w:b/>
          <w:sz w:val="24"/>
        </w:rPr>
        <w:t>理财非存款、产品有风险、投资须谨慎。</w:t>
      </w:r>
      <w:r w:rsidRPr="004A599D">
        <w:rPr>
          <w:rFonts w:ascii="宋体" w:hAnsi="宋体" w:hint="eastAsia"/>
          <w:sz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D0166A" w:rsidRPr="004A599D" w:rsidRDefault="006A53B6">
      <w:pPr>
        <w:pStyle w:val="Normalfd659043"/>
        <w:spacing w:line="360" w:lineRule="auto"/>
        <w:ind w:firstLineChars="200" w:firstLine="482"/>
        <w:rPr>
          <w:rFonts w:ascii="宋体" w:eastAsia="黑体" w:hAnsi="宋体"/>
          <w:b/>
          <w:sz w:val="24"/>
        </w:rPr>
      </w:pPr>
      <w:r w:rsidRPr="004A599D">
        <w:rPr>
          <w:rFonts w:ascii="宋体" w:hAnsi="宋体"/>
          <w:b/>
          <w:sz w:val="24"/>
        </w:rPr>
        <w:t>在任何情况下，乙方公布的产品业绩比较基准仅供甲方参考，不</w:t>
      </w:r>
      <w:r w:rsidRPr="004A599D">
        <w:rPr>
          <w:rFonts w:ascii="宋体" w:hAnsi="宋体" w:hint="eastAsia"/>
          <w:b/>
          <w:sz w:val="24"/>
        </w:rPr>
        <w:t>代表甲方可获得的实际收益，不代表产品的未来表现，</w:t>
      </w:r>
      <w:r w:rsidRPr="004A599D">
        <w:rPr>
          <w:rFonts w:ascii="宋体" w:hAnsi="宋体" w:hint="eastAsia"/>
          <w:b/>
          <w:sz w:val="24"/>
        </w:rPr>
        <w:t>亦不构成乙方保证甲方获得业绩比较基准反映的收益率的承诺，甲方是在充分认识投资风险的基础上，凭借自身判断，独立、自愿购买理财产品，谨慎投资</w:t>
      </w:r>
      <w:r w:rsidRPr="005F3C51">
        <w:rPr>
          <w:rFonts w:hint="eastAsia"/>
          <w:b/>
          <w:sz w:val="24"/>
        </w:rPr>
        <w:t>。</w:t>
      </w:r>
    </w:p>
    <w:p w:rsidR="00D0166A" w:rsidRPr="004A599D" w:rsidRDefault="006A53B6">
      <w:pPr>
        <w:pStyle w:val="Normalfd659043"/>
        <w:spacing w:line="360" w:lineRule="auto"/>
        <w:ind w:firstLineChars="200" w:firstLine="480"/>
        <w:rPr>
          <w:rFonts w:ascii="宋体" w:eastAsia="黑体" w:hAnsi="宋体"/>
          <w:sz w:val="24"/>
        </w:rPr>
      </w:pPr>
      <w:r w:rsidRPr="004A599D">
        <w:rPr>
          <w:rFonts w:ascii="宋体" w:hAnsi="宋体" w:hint="eastAsia"/>
          <w:sz w:val="24"/>
        </w:rPr>
        <w:t>本协议与本理财产品的《理财产品说明书》、《风险揭示书》、</w:t>
      </w:r>
      <w:r w:rsidRPr="00E3289C">
        <w:rPr>
          <w:rFonts w:hint="eastAsia"/>
          <w:sz w:val="24"/>
        </w:rPr>
        <w:t>《销售（代理销售）协议书》</w:t>
      </w:r>
      <w:r>
        <w:rPr>
          <w:rFonts w:hint="eastAsia"/>
          <w:sz w:val="24"/>
        </w:rPr>
        <w:t>、《投资者权益须知》等理财产品销售文件共同构成一份完整且不可分割的、关于甲方所投资乙方理财产品的全部协议，前述理财产品</w:t>
      </w:r>
      <w:r>
        <w:rPr>
          <w:sz w:val="24"/>
        </w:rPr>
        <w:t>销售文件</w:t>
      </w:r>
      <w:r>
        <w:rPr>
          <w:rFonts w:hint="eastAsia"/>
          <w:sz w:val="24"/>
        </w:rPr>
        <w:t>具有同等法律效力。本协议未及事项，包括但不限于理财产品的认</w:t>
      </w:r>
      <w:r>
        <w:rPr>
          <w:rFonts w:hint="eastAsia"/>
          <w:sz w:val="24"/>
        </w:rPr>
        <w:t>（申）</w:t>
      </w:r>
      <w:r>
        <w:rPr>
          <w:rFonts w:hint="eastAsia"/>
          <w:sz w:val="24"/>
        </w:rPr>
        <w:t>购、赎回等相关事项，以《理财产品说明书》等理财产品销售文件</w:t>
      </w:r>
      <w:r>
        <w:rPr>
          <w:sz w:val="24"/>
        </w:rPr>
        <w:t>具体</w:t>
      </w:r>
      <w:r>
        <w:rPr>
          <w:rFonts w:hint="eastAsia"/>
          <w:sz w:val="24"/>
        </w:rPr>
        <w:t>约定为准。本协议与</w:t>
      </w:r>
      <w:r w:rsidRPr="004A599D">
        <w:rPr>
          <w:rFonts w:ascii="宋体" w:hAnsi="宋体" w:hint="eastAsia"/>
          <w:sz w:val="24"/>
        </w:rPr>
        <w:t>《理财产品说明书》不一致的，以《理财产品说明书》为准。</w:t>
      </w:r>
    </w:p>
    <w:p w:rsidR="00D0166A" w:rsidRPr="004A599D" w:rsidRDefault="006A53B6" w:rsidP="004A599D">
      <w:pPr>
        <w:pStyle w:val="ListParagraph4b42f0ce"/>
        <w:numPr>
          <w:ilvl w:val="0"/>
          <w:numId w:val="1"/>
        </w:numPr>
        <w:spacing w:line="360" w:lineRule="auto"/>
        <w:ind w:firstLineChars="0"/>
        <w:rPr>
          <w:rFonts w:ascii="宋体" w:hAnsi="宋体"/>
          <w:b/>
          <w:sz w:val="24"/>
        </w:rPr>
      </w:pPr>
      <w:r w:rsidRPr="004A599D">
        <w:rPr>
          <w:rFonts w:ascii="宋体" w:hAnsi="宋体" w:hint="eastAsia"/>
          <w:b/>
          <w:sz w:val="24"/>
        </w:rPr>
        <w:t>甲方声明</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1</w:t>
      </w:r>
      <w:r w:rsidRPr="004A599D">
        <w:rPr>
          <w:rFonts w:ascii="宋体" w:hAnsi="宋体" w:hint="eastAsia"/>
          <w:sz w:val="24"/>
        </w:rPr>
        <w:t>、甲方保证其为具有完全民事行为能力的</w:t>
      </w:r>
      <w:r w:rsidRPr="00421FC5">
        <w:rPr>
          <w:rFonts w:hint="eastAsia"/>
          <w:sz w:val="24"/>
        </w:rPr>
        <w:t>自然</w:t>
      </w:r>
      <w:r>
        <w:rPr>
          <w:rFonts w:hint="eastAsia"/>
          <w:sz w:val="24"/>
        </w:rPr>
        <w:t>人</w:t>
      </w:r>
      <w:r w:rsidRPr="004A599D">
        <w:rPr>
          <w:rFonts w:ascii="宋体" w:hAnsi="宋体" w:hint="eastAsia"/>
          <w:sz w:val="24"/>
        </w:rPr>
        <w:t>；或为依法设立并合法存续的法人、</w:t>
      </w:r>
      <w:r w:rsidRPr="00E53111">
        <w:rPr>
          <w:rFonts w:hint="eastAsia"/>
          <w:sz w:val="24"/>
        </w:rPr>
        <w:t>依法成立的其他组织</w:t>
      </w:r>
      <w:r>
        <w:rPr>
          <w:rFonts w:hint="eastAsia"/>
          <w:sz w:val="24"/>
        </w:rPr>
        <w:t>（以下统称“机构投资者”）；或为符合《关于规范金融机构资产管理业务的指导意见》规定的资产管理产品。</w:t>
      </w:r>
      <w:r w:rsidRPr="00750B4E">
        <w:rPr>
          <w:rFonts w:hint="eastAsia"/>
          <w:sz w:val="24"/>
        </w:rPr>
        <w:t>甲方</w:t>
      </w:r>
      <w:r w:rsidRPr="00750B4E">
        <w:rPr>
          <w:sz w:val="24"/>
        </w:rPr>
        <w:t>为资产管理产品的，甲方投资本理财产品不</w:t>
      </w:r>
      <w:r w:rsidRPr="00750B4E">
        <w:rPr>
          <w:rFonts w:hint="eastAsia"/>
          <w:sz w:val="24"/>
        </w:rPr>
        <w:t>存在</w:t>
      </w:r>
      <w:r w:rsidRPr="00750B4E">
        <w:rPr>
          <w:sz w:val="24"/>
        </w:rPr>
        <w:t>违反</w:t>
      </w:r>
      <w:r w:rsidRPr="00750B4E">
        <w:rPr>
          <w:rFonts w:hint="eastAsia"/>
          <w:sz w:val="24"/>
        </w:rPr>
        <w:t>监管要求</w:t>
      </w:r>
      <w:r w:rsidRPr="00750B4E">
        <w:rPr>
          <w:sz w:val="24"/>
        </w:rPr>
        <w:t>的多层嵌套</w:t>
      </w:r>
      <w:r w:rsidRPr="00750B4E">
        <w:rPr>
          <w:rFonts w:hint="eastAsia"/>
          <w:sz w:val="24"/>
        </w:rPr>
        <w:t>、</w:t>
      </w:r>
      <w:r w:rsidRPr="004A599D">
        <w:rPr>
          <w:rFonts w:ascii="宋体" w:hAnsi="宋体"/>
          <w:sz w:val="24"/>
        </w:rPr>
        <w:t>规避投资范围、杠杆约束等</w:t>
      </w:r>
      <w:r w:rsidRPr="00750B4E">
        <w:rPr>
          <w:rFonts w:hint="eastAsia"/>
          <w:sz w:val="24"/>
        </w:rPr>
        <w:t>违规</w:t>
      </w:r>
      <w:r w:rsidRPr="00750B4E">
        <w:rPr>
          <w:sz w:val="24"/>
        </w:rPr>
        <w:t>行为</w:t>
      </w:r>
      <w:r w:rsidRPr="00750B4E">
        <w:rPr>
          <w:rFonts w:hint="eastAsia"/>
          <w:sz w:val="24"/>
        </w:rPr>
        <w:t>。</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lastRenderedPageBreak/>
        <w:t>2</w:t>
      </w:r>
      <w:r w:rsidRPr="004A599D">
        <w:rPr>
          <w:rFonts w:ascii="宋体" w:hAnsi="宋体"/>
          <w:sz w:val="24"/>
        </w:rPr>
        <w:t>、甲方保证签署和履行本协议系基于甲方的真实意愿，且不会违反对甲方</w:t>
      </w:r>
      <w:r>
        <w:rPr>
          <w:rFonts w:hint="eastAsia"/>
          <w:sz w:val="24"/>
        </w:rPr>
        <w:t>有约束力的任何协议、合同或其他法律文件。机构投资者及资产管理产品投资者已经按照其章</w:t>
      </w:r>
      <w:r>
        <w:rPr>
          <w:rFonts w:hint="eastAsia"/>
          <w:sz w:val="24"/>
        </w:rPr>
        <w:t>程或者其它内部管理文件的要求取得合法、有效的授权。甲方就签订和履行本协议已经取得所需的一切有关批准、许可、备案或者登记，甲方具有完全适当的资格与能力</w:t>
      </w:r>
      <w:r>
        <w:rPr>
          <w:rFonts w:hint="eastAsia"/>
          <w:sz w:val="24"/>
        </w:rPr>
        <w:t>签订</w:t>
      </w:r>
      <w:r>
        <w:rPr>
          <w:rFonts w:hint="eastAsia"/>
          <w:sz w:val="24"/>
        </w:rPr>
        <w:t>及履行本协议以及以其为一方当事人的任何有关理财产品销售文件。</w:t>
      </w:r>
    </w:p>
    <w:p w:rsidR="00D0166A" w:rsidRPr="004A599D" w:rsidRDefault="006A53B6">
      <w:pPr>
        <w:pStyle w:val="Normalfd659043"/>
        <w:spacing w:line="360" w:lineRule="auto"/>
        <w:ind w:firstLineChars="200" w:firstLine="480"/>
        <w:rPr>
          <w:rFonts w:ascii="宋体" w:hAnsi="宋体"/>
          <w:b/>
          <w:sz w:val="24"/>
        </w:rPr>
      </w:pPr>
      <w:r w:rsidRPr="004A599D">
        <w:rPr>
          <w:rFonts w:ascii="宋体" w:hAnsi="宋体"/>
          <w:sz w:val="24"/>
        </w:rPr>
        <w:t>3</w:t>
      </w:r>
      <w:r w:rsidRPr="004A599D">
        <w:rPr>
          <w:rFonts w:ascii="宋体" w:hAnsi="宋体" w:hint="eastAsia"/>
          <w:sz w:val="24"/>
        </w:rPr>
        <w:t>、甲方接受并签署《理财产品说明书》、《风险揭示书》、</w:t>
      </w:r>
      <w:r w:rsidRPr="00E3289C">
        <w:rPr>
          <w:rFonts w:hint="eastAsia"/>
          <w:sz w:val="24"/>
        </w:rPr>
        <w:t>《销售（代理销售）协议书》</w:t>
      </w:r>
      <w:r>
        <w:rPr>
          <w:rFonts w:hint="eastAsia"/>
          <w:sz w:val="24"/>
        </w:rPr>
        <w:t>、《投资协议书》、《投资者权益须知》等理财产品销售文件，对有关条款不存在任何疑问或异议；</w:t>
      </w:r>
      <w:r w:rsidRPr="004A599D">
        <w:rPr>
          <w:rFonts w:hint="eastAsia"/>
          <w:b/>
          <w:sz w:val="24"/>
        </w:rPr>
        <w:t>甲方已清楚知悉并同意理财产品销售文件项下理财产品的投资管理等行为由乙方负责实施，完全知晓产品可能出现的各种风险，愿意并能够承担风险。</w:t>
      </w:r>
      <w:r w:rsidRPr="005F3C51">
        <w:rPr>
          <w:rFonts w:hint="eastAsia"/>
          <w:b/>
          <w:sz w:val="24"/>
        </w:rPr>
        <w:t>乙方向甲方提供的市场分析和</w:t>
      </w:r>
      <w:r>
        <w:rPr>
          <w:rFonts w:hint="eastAsia"/>
          <w:b/>
          <w:sz w:val="24"/>
        </w:rPr>
        <w:t>测算</w:t>
      </w:r>
      <w:r w:rsidRPr="005F3C51">
        <w:rPr>
          <w:rFonts w:hint="eastAsia"/>
          <w:b/>
          <w:sz w:val="24"/>
        </w:rPr>
        <w:t>仅供参考，甲方据此做出的任何决策均出于甲方自身的判断，并自愿承担所购买（或赎回、撤单等其他行为）理财产品所产生</w:t>
      </w:r>
      <w:r w:rsidRPr="005F3C51">
        <w:rPr>
          <w:b/>
          <w:sz w:val="24"/>
        </w:rPr>
        <w:t>的相关风险和全部后果，</w:t>
      </w:r>
      <w:r w:rsidRPr="005F3C51">
        <w:rPr>
          <w:rFonts w:hint="eastAsia"/>
          <w:b/>
          <w:sz w:val="24"/>
        </w:rPr>
        <w:t>乙方不承担任何责任。</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4</w:t>
      </w:r>
      <w:r w:rsidRPr="004A599D">
        <w:rPr>
          <w:rFonts w:ascii="宋体" w:hAnsi="宋体"/>
          <w:sz w:val="24"/>
        </w:rPr>
        <w:t>、</w:t>
      </w:r>
      <w:r w:rsidRPr="004A599D">
        <w:rPr>
          <w:rFonts w:ascii="宋体" w:hAnsi="宋体" w:hint="eastAsia"/>
          <w:b/>
          <w:sz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w:t>
      </w:r>
      <w:r w:rsidRPr="004A599D">
        <w:rPr>
          <w:rFonts w:ascii="宋体" w:hAnsi="宋体" w:hint="eastAsia"/>
          <w:b/>
          <w:sz w:val="24"/>
        </w:rPr>
        <w:t>品，而非为洗钱等违法犯罪之目的</w:t>
      </w:r>
      <w:r>
        <w:rPr>
          <w:rFonts w:hint="eastAsia"/>
          <w:sz w:val="24"/>
        </w:rPr>
        <w:t>。甲方将配合乙方及代理销售机构开展</w:t>
      </w:r>
      <w:r>
        <w:rPr>
          <w:sz w:val="24"/>
        </w:rPr>
        <w:t>反洗钱、反恐怖融资及非居民金融账户涉税信息尽职调查等相关法律</w:t>
      </w:r>
      <w:r>
        <w:rPr>
          <w:rFonts w:hint="eastAsia"/>
          <w:sz w:val="24"/>
        </w:rPr>
        <w:t>、</w:t>
      </w:r>
      <w:r w:rsidRPr="004A599D">
        <w:rPr>
          <w:rFonts w:ascii="宋体" w:hAnsi="宋体"/>
          <w:sz w:val="24"/>
        </w:rPr>
        <w:t>法规</w:t>
      </w:r>
      <w:r>
        <w:rPr>
          <w:rFonts w:hint="eastAsia"/>
          <w:sz w:val="24"/>
        </w:rPr>
        <w:t>及</w:t>
      </w:r>
      <w:r w:rsidRPr="004A599D">
        <w:rPr>
          <w:rFonts w:ascii="宋体" w:hAnsi="宋体"/>
          <w:sz w:val="24"/>
        </w:rPr>
        <w:t>监管规定</w:t>
      </w:r>
      <w:r>
        <w:rPr>
          <w:sz w:val="24"/>
        </w:rPr>
        <w:t>要求的工作，及时、真实、准确、完整地提供身份信息及资金来源信息。</w:t>
      </w:r>
    </w:p>
    <w:p w:rsidR="00D0166A" w:rsidRPr="004A599D" w:rsidRDefault="006A53B6">
      <w:pPr>
        <w:pStyle w:val="Normalfd659043"/>
        <w:spacing w:line="360" w:lineRule="auto"/>
        <w:ind w:firstLineChars="200" w:firstLine="482"/>
        <w:rPr>
          <w:rFonts w:ascii="宋体" w:eastAsia="黑体" w:hAnsi="宋体"/>
          <w:b/>
          <w:sz w:val="24"/>
        </w:rPr>
      </w:pPr>
      <w:r w:rsidRPr="004A599D">
        <w:rPr>
          <w:rFonts w:ascii="宋体" w:hAnsi="宋体" w:hint="eastAsia"/>
          <w:b/>
          <w:sz w:val="24"/>
        </w:rPr>
        <w:t>第三条</w:t>
      </w:r>
      <w:r w:rsidRPr="004A599D">
        <w:rPr>
          <w:rFonts w:ascii="宋体" w:hAnsi="宋体"/>
          <w:b/>
          <w:sz w:val="24"/>
        </w:rPr>
        <w:t xml:space="preserve"> </w:t>
      </w:r>
      <w:r w:rsidRPr="004A599D">
        <w:rPr>
          <w:rFonts w:ascii="宋体" w:hAnsi="宋体" w:hint="eastAsia"/>
          <w:b/>
          <w:sz w:val="24"/>
        </w:rPr>
        <w:t>双方权利与义务</w:t>
      </w:r>
    </w:p>
    <w:p w:rsidR="00D0166A" w:rsidRPr="004A599D" w:rsidRDefault="006A53B6" w:rsidP="004A599D">
      <w:pPr>
        <w:pStyle w:val="ListParagraph4b42f0ce"/>
        <w:widowControl/>
        <w:numPr>
          <w:ilvl w:val="0"/>
          <w:numId w:val="2"/>
        </w:numPr>
        <w:ind w:firstLineChars="0"/>
        <w:jc w:val="left"/>
        <w:rPr>
          <w:rFonts w:ascii="宋体" w:hAnsi="宋体"/>
          <w:b/>
          <w:sz w:val="24"/>
        </w:rPr>
      </w:pPr>
      <w:r w:rsidRPr="004A599D">
        <w:rPr>
          <w:rFonts w:ascii="宋体" w:hAnsi="宋体" w:hint="eastAsia"/>
          <w:b/>
          <w:sz w:val="24"/>
        </w:rPr>
        <w:t>甲方权利与义务</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1</w:t>
      </w:r>
      <w:r w:rsidRPr="004A599D">
        <w:rPr>
          <w:rFonts w:ascii="宋体" w:hAnsi="宋体" w:hint="eastAsia"/>
          <w:sz w:val="24"/>
        </w:rPr>
        <w:t>、甲方有权依照《理财产品说明书》</w:t>
      </w:r>
      <w:r>
        <w:rPr>
          <w:rFonts w:hint="eastAsia"/>
          <w:sz w:val="24"/>
        </w:rPr>
        <w:t>等理财</w:t>
      </w:r>
      <w:r>
        <w:rPr>
          <w:sz w:val="24"/>
        </w:rPr>
        <w:t>产品销售文件</w:t>
      </w:r>
      <w:r w:rsidRPr="00431A8D">
        <w:rPr>
          <w:rFonts w:hint="eastAsia"/>
          <w:sz w:val="24"/>
        </w:rPr>
        <w:t>的约定获得投资收益，在约定的投资期内，投资本金不另计存款利息。</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2</w:t>
      </w:r>
      <w:r w:rsidRPr="004A599D">
        <w:rPr>
          <w:rFonts w:ascii="宋体" w:hAnsi="宋体" w:hint="eastAsia"/>
          <w:sz w:val="24"/>
        </w:rPr>
        <w:t>、甲方承诺所提供的所有资料真实、完整、合法、有效</w:t>
      </w:r>
      <w:r w:rsidRPr="00431A8D">
        <w:rPr>
          <w:sz w:val="24"/>
        </w:rPr>
        <w:t>，如有变更，甲方应</w:t>
      </w:r>
      <w:r w:rsidRPr="00431A8D">
        <w:rPr>
          <w:rFonts w:hint="eastAsia"/>
          <w:sz w:val="24"/>
        </w:rPr>
        <w:t>及时到其购买本产品的所有销售机构办理变更手续。</w:t>
      </w:r>
      <w:r w:rsidRPr="00B10F1A">
        <w:rPr>
          <w:rFonts w:hint="eastAsia"/>
          <w:sz w:val="24"/>
        </w:rPr>
        <w:t>若甲方未及时办理相关变更手续，由此导致的一切后果由甲方自行承担，乙方对此不承担任何责任。</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3</w:t>
      </w:r>
      <w:r w:rsidRPr="004A599D">
        <w:rPr>
          <w:rFonts w:ascii="宋体" w:hAnsi="宋体" w:hint="eastAsia"/>
          <w:sz w:val="24"/>
        </w:rPr>
        <w:t>、因甲方指定账户冻结、挂失、换卡、销户、长期不动户等原因造成账户变更或异常</w:t>
      </w:r>
      <w:r w:rsidRPr="00431A8D">
        <w:rPr>
          <w:sz w:val="24"/>
        </w:rPr>
        <w:t>,</w:t>
      </w:r>
      <w:r w:rsidRPr="004A599D">
        <w:rPr>
          <w:rFonts w:ascii="宋体" w:hAnsi="宋体"/>
          <w:sz w:val="24"/>
        </w:rPr>
        <w:t>甲方应及时到</w:t>
      </w:r>
      <w:r w:rsidRPr="00431A8D">
        <w:rPr>
          <w:rFonts w:hint="eastAsia"/>
          <w:sz w:val="24"/>
        </w:rPr>
        <w:t>其购买本产品的所有销售机构</w:t>
      </w:r>
      <w:r w:rsidRPr="00431A8D">
        <w:rPr>
          <w:sz w:val="24"/>
        </w:rPr>
        <w:t>办理变更手续。</w:t>
      </w:r>
      <w:r w:rsidRPr="00431A8D">
        <w:rPr>
          <w:b/>
          <w:sz w:val="24"/>
        </w:rPr>
        <w:t>如因甲方未及时办理变更手续而造成</w:t>
      </w:r>
      <w:r w:rsidRPr="00431A8D">
        <w:rPr>
          <w:rFonts w:hint="eastAsia"/>
          <w:b/>
          <w:sz w:val="24"/>
        </w:rPr>
        <w:t>其购买本产品的销售机构</w:t>
      </w:r>
      <w:r w:rsidRPr="00431A8D">
        <w:rPr>
          <w:b/>
          <w:sz w:val="24"/>
        </w:rPr>
        <w:t>无法向甲方进行正常收益分配和资金清算分配</w:t>
      </w:r>
      <w:r>
        <w:rPr>
          <w:rFonts w:hint="eastAsia"/>
          <w:b/>
          <w:sz w:val="24"/>
        </w:rPr>
        <w:t>的</w:t>
      </w:r>
      <w:r w:rsidRPr="004A599D">
        <w:rPr>
          <w:rFonts w:ascii="宋体" w:hAnsi="宋体"/>
          <w:b/>
          <w:sz w:val="24"/>
        </w:rPr>
        <w:t>,</w:t>
      </w:r>
      <w:r w:rsidRPr="004A599D">
        <w:rPr>
          <w:rFonts w:ascii="宋体" w:hAnsi="宋体"/>
          <w:b/>
          <w:sz w:val="24"/>
        </w:rPr>
        <w:t>由此导致甲方损失的由甲方自行承担</w:t>
      </w:r>
      <w:r w:rsidRPr="00431A8D">
        <w:rPr>
          <w:b/>
          <w:sz w:val="24"/>
        </w:rPr>
        <w:t>,</w:t>
      </w:r>
      <w:r w:rsidRPr="004A599D">
        <w:rPr>
          <w:rFonts w:ascii="宋体" w:hAnsi="宋体"/>
          <w:b/>
          <w:sz w:val="24"/>
        </w:rPr>
        <w:t>乙方不承担责</w:t>
      </w:r>
      <w:r w:rsidRPr="004A599D">
        <w:rPr>
          <w:rFonts w:ascii="宋体" w:hAnsi="宋体"/>
          <w:b/>
          <w:sz w:val="24"/>
        </w:rPr>
        <w:lastRenderedPageBreak/>
        <w:t>任。</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4</w:t>
      </w:r>
      <w:r w:rsidRPr="004A599D">
        <w:rPr>
          <w:rFonts w:ascii="宋体" w:hAnsi="宋体" w:hint="eastAsia"/>
          <w:sz w:val="24"/>
        </w:rPr>
        <w:t>、</w:t>
      </w:r>
      <w:r w:rsidRPr="004A599D">
        <w:rPr>
          <w:rFonts w:ascii="宋体" w:hAnsi="宋体"/>
          <w:sz w:val="24"/>
        </w:rPr>
        <w:t>甲方对本协议及其条款负有保密义务，未经乙方书面许可，甲方不得向任</w:t>
      </w:r>
      <w:r w:rsidRPr="00842BFE">
        <w:rPr>
          <w:rFonts w:hint="eastAsia"/>
          <w:sz w:val="24"/>
        </w:rPr>
        <w:t>何组织、个人提供或泄露与乙方有关的业务资料及信息，</w:t>
      </w:r>
      <w:r w:rsidRPr="00842BFE">
        <w:rPr>
          <w:sz w:val="24"/>
        </w:rPr>
        <w:t>法律、法规另有规</w:t>
      </w:r>
      <w:r w:rsidRPr="00842BFE">
        <w:rPr>
          <w:rFonts w:hint="eastAsia"/>
          <w:sz w:val="24"/>
        </w:rPr>
        <w:t>定</w:t>
      </w:r>
      <w:r w:rsidRPr="004A599D">
        <w:rPr>
          <w:rFonts w:ascii="宋体" w:hAnsi="宋体" w:hint="eastAsia"/>
          <w:sz w:val="24"/>
        </w:rPr>
        <w:t>的</w:t>
      </w:r>
      <w:r w:rsidRPr="004A599D">
        <w:rPr>
          <w:rFonts w:ascii="宋体" w:hAnsi="宋体"/>
          <w:sz w:val="24"/>
        </w:rPr>
        <w:t>除</w:t>
      </w:r>
      <w:r w:rsidRPr="004A599D">
        <w:rPr>
          <w:rFonts w:ascii="宋体" w:hAnsi="宋体" w:hint="eastAsia"/>
          <w:sz w:val="24"/>
        </w:rPr>
        <w:t>外</w:t>
      </w:r>
      <w:r w:rsidRPr="004A599D">
        <w:rPr>
          <w:rFonts w:ascii="宋体" w:hAnsi="宋体" w:hint="eastAsia"/>
          <w:sz w:val="24"/>
        </w:rPr>
        <w:t>。</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5</w:t>
      </w:r>
      <w:r w:rsidRPr="004A599D">
        <w:rPr>
          <w:rFonts w:ascii="宋体" w:hAnsi="宋体" w:hint="eastAsia"/>
          <w:sz w:val="24"/>
        </w:rPr>
        <w:t>、甲方签署本协议，即同意授权乙方及代理销售机构从甲方指定账户冻结或</w:t>
      </w:r>
      <w:r w:rsidRPr="00842BFE">
        <w:rPr>
          <w:sz w:val="24"/>
        </w:rPr>
        <w:t>划转</w:t>
      </w:r>
      <w:r w:rsidRPr="00842BFE">
        <w:rPr>
          <w:rFonts w:hint="eastAsia"/>
          <w:sz w:val="24"/>
        </w:rPr>
        <w:t>等额于甲</w:t>
      </w:r>
      <w:r w:rsidRPr="00842BFE">
        <w:rPr>
          <w:sz w:val="24"/>
        </w:rPr>
        <w:t>方在本协议项下提交认购或申购的交易金额的资金，</w:t>
      </w:r>
      <w:r w:rsidRPr="00842BFE">
        <w:rPr>
          <w:rFonts w:hint="eastAsia"/>
          <w:sz w:val="24"/>
        </w:rPr>
        <w:t>或</w:t>
      </w:r>
      <w:r w:rsidRPr="004A599D">
        <w:rPr>
          <w:rFonts w:ascii="宋体" w:hAnsi="宋体"/>
          <w:sz w:val="24"/>
        </w:rPr>
        <w:t>进行币种转换于境外投资，</w:t>
      </w:r>
      <w:r w:rsidRPr="00842BFE">
        <w:rPr>
          <w:rFonts w:hint="eastAsia"/>
          <w:sz w:val="24"/>
        </w:rPr>
        <w:t>乙方及</w:t>
      </w:r>
      <w:r w:rsidRPr="00842BFE">
        <w:rPr>
          <w:sz w:val="24"/>
        </w:rPr>
        <w:t>代理销售机构在</w:t>
      </w:r>
      <w:r w:rsidRPr="00842BFE">
        <w:rPr>
          <w:rFonts w:hint="eastAsia"/>
          <w:sz w:val="24"/>
        </w:rPr>
        <w:t>冻结或</w:t>
      </w:r>
      <w:r w:rsidRPr="00842BFE">
        <w:rPr>
          <w:sz w:val="24"/>
        </w:rPr>
        <w:t>划款时均无须再通知甲方。</w:t>
      </w:r>
      <w:r w:rsidRPr="004A599D">
        <w:rPr>
          <w:rFonts w:hint="eastAsia"/>
          <w:b/>
          <w:sz w:val="24"/>
        </w:rPr>
        <w:t>在产</w:t>
      </w:r>
      <w:r w:rsidRPr="004A599D">
        <w:rPr>
          <w:rFonts w:ascii="宋体" w:hAnsi="宋体" w:hint="eastAsia"/>
          <w:b/>
          <w:sz w:val="24"/>
        </w:rPr>
        <w:t>品认（申）购期内</w:t>
      </w:r>
      <w:r w:rsidRPr="004A599D">
        <w:rPr>
          <w:rFonts w:hint="eastAsia"/>
          <w:b/>
          <w:sz w:val="24"/>
        </w:rPr>
        <w:t>，如因甲方原因导致投资本金不能从甲方指定账户足额划转导致甲方对相关理财产品的购买不成功的，乙方不承担责任。</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6</w:t>
      </w:r>
      <w:r w:rsidRPr="004A599D">
        <w:rPr>
          <w:rFonts w:ascii="宋体" w:hAnsi="宋体" w:hint="eastAsia"/>
          <w:sz w:val="24"/>
        </w:rPr>
        <w:t>、如甲方在本协议项下投资的理财产品为《理财产品说明书》声明的面向</w:t>
      </w:r>
      <w:r w:rsidRPr="00842BFE">
        <w:rPr>
          <w:sz w:val="24"/>
        </w:rPr>
        <w:t>合格投资者发行的理财产品，甲方</w:t>
      </w:r>
      <w:r w:rsidRPr="00842BFE">
        <w:rPr>
          <w:rFonts w:hint="eastAsia"/>
          <w:sz w:val="24"/>
        </w:rPr>
        <w:t>承诺其</w:t>
      </w:r>
      <w:r w:rsidRPr="00842BFE">
        <w:rPr>
          <w:sz w:val="24"/>
        </w:rPr>
        <w:t>符合监管要求的合格投资者条件。</w:t>
      </w:r>
    </w:p>
    <w:p w:rsidR="00842BFE" w:rsidRPr="004A599D" w:rsidRDefault="006A53B6" w:rsidP="00431A8D">
      <w:pPr>
        <w:pStyle w:val="Normalfd659043"/>
        <w:spacing w:line="360" w:lineRule="auto"/>
        <w:ind w:firstLineChars="200" w:firstLine="480"/>
        <w:rPr>
          <w:rFonts w:ascii="宋体" w:hAnsi="宋体"/>
          <w:b/>
          <w:sz w:val="24"/>
        </w:rPr>
      </w:pPr>
      <w:r w:rsidRPr="004A599D">
        <w:rPr>
          <w:rFonts w:ascii="宋体" w:hAnsi="宋体"/>
          <w:sz w:val="24"/>
        </w:rPr>
        <w:t>7</w:t>
      </w:r>
      <w:r w:rsidRPr="004A599D">
        <w:rPr>
          <w:rFonts w:ascii="宋体" w:hAnsi="宋体" w:hint="eastAsia"/>
          <w:sz w:val="24"/>
        </w:rPr>
        <w:t>、甲方保证熟悉理财产品类型特征及不同销售渠道的相关规定，了解理财产品直销与代销的相关区别。对于甲方通过乙方或代理销售机构的网上银行、手机银行等销售渠道方式购买的理财产品（不受限于本产品），</w:t>
      </w:r>
      <w:r w:rsidRPr="00842BFE">
        <w:rPr>
          <w:rFonts w:hint="eastAsia"/>
          <w:b/>
          <w:sz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8</w:t>
      </w:r>
      <w:r w:rsidRPr="004A599D">
        <w:rPr>
          <w:rFonts w:ascii="宋体" w:hAnsi="宋体" w:hint="eastAsia"/>
          <w:sz w:val="24"/>
        </w:rPr>
        <w:t>、</w:t>
      </w:r>
      <w:r w:rsidRPr="004A599D">
        <w:rPr>
          <w:rFonts w:ascii="宋体" w:hAnsi="宋体" w:hint="eastAsia"/>
          <w:b/>
          <w:sz w:val="24"/>
        </w:rPr>
        <w:t>甲方认可乙方按《理财产品说明书》中约定的方式披露理财产品相关信息，</w:t>
      </w:r>
      <w:r w:rsidRPr="00842BFE">
        <w:rPr>
          <w:rFonts w:hint="eastAsia"/>
          <w:sz w:val="24"/>
        </w:rPr>
        <w:t>包括但不限于理财产品</w:t>
      </w:r>
      <w:r w:rsidRPr="00750B4E">
        <w:rPr>
          <w:rFonts w:hint="eastAsia"/>
          <w:sz w:val="24"/>
        </w:rPr>
        <w:t>销售</w:t>
      </w:r>
      <w:r w:rsidRPr="00750B4E">
        <w:rPr>
          <w:rFonts w:hint="eastAsia"/>
          <w:sz w:val="24"/>
        </w:rPr>
        <w:t>文件修改及补充、发行公告、定期报告、到期公告、重要事项公告等。</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9</w:t>
      </w:r>
      <w:r w:rsidRPr="004A599D">
        <w:rPr>
          <w:rFonts w:ascii="宋体" w:hAnsi="宋体" w:hint="eastAsia"/>
          <w:sz w:val="24"/>
        </w:rPr>
        <w:t>、如甲方投资的理财产品为私募理财产品，则募集期最后一日为产品冷静期，冷静期具体设置规则以《理财产品说明书》为准</w:t>
      </w:r>
      <w:r w:rsidRPr="00842BFE">
        <w:rPr>
          <w:sz w:val="24"/>
        </w:rPr>
        <w:t>。在冷静期内，如甲方改变投</w:t>
      </w:r>
      <w:r w:rsidRPr="00842BFE">
        <w:rPr>
          <w:rFonts w:hint="eastAsia"/>
          <w:sz w:val="24"/>
        </w:rPr>
        <w:t>资决定，应立即撤销认（申）</w:t>
      </w:r>
      <w:r w:rsidRPr="00842BFE">
        <w:rPr>
          <w:sz w:val="24"/>
        </w:rPr>
        <w:t>购的申请或通过</w:t>
      </w:r>
      <w:r w:rsidRPr="00842BFE">
        <w:rPr>
          <w:rFonts w:hint="eastAsia"/>
          <w:sz w:val="24"/>
        </w:rPr>
        <w:t>其购买本产品的所有销售机构</w:t>
      </w:r>
      <w:r w:rsidRPr="00842BFE">
        <w:rPr>
          <w:sz w:val="24"/>
        </w:rPr>
        <w:t>向乙方</w:t>
      </w:r>
      <w:r w:rsidRPr="00842BFE">
        <w:rPr>
          <w:rFonts w:hint="eastAsia"/>
          <w:sz w:val="24"/>
        </w:rPr>
        <w:t>提出解除相应理财产品销售文件，乙方应当遵从甲方意愿，解除已签订的理财产品销售文件，并由其购买本产品的销售机构及时退还甲方的全部投资款项。</w:t>
      </w:r>
    </w:p>
    <w:p w:rsidR="00842BFE" w:rsidRPr="004A599D" w:rsidRDefault="006A53B6" w:rsidP="00431A8D">
      <w:pPr>
        <w:pStyle w:val="Normalfd659043"/>
        <w:spacing w:line="360" w:lineRule="auto"/>
        <w:ind w:firstLineChars="200" w:firstLine="480"/>
        <w:rPr>
          <w:rFonts w:ascii="宋体" w:eastAsia="黑体" w:hAnsi="宋体"/>
          <w:sz w:val="24"/>
        </w:rPr>
      </w:pPr>
      <w:r w:rsidRPr="004A599D">
        <w:rPr>
          <w:rFonts w:ascii="宋体" w:hAnsi="宋体"/>
          <w:sz w:val="24"/>
        </w:rPr>
        <w:t>10</w:t>
      </w:r>
      <w:r w:rsidRPr="004A599D">
        <w:rPr>
          <w:rFonts w:ascii="宋体" w:hAnsi="宋体" w:hint="eastAsia"/>
          <w:sz w:val="24"/>
        </w:rPr>
        <w:t>、若甲方为非机构投资者，则对于乙方发行的、</w:t>
      </w:r>
      <w:r w:rsidRPr="00842BFE">
        <w:rPr>
          <w:sz w:val="24"/>
        </w:rPr>
        <w:t>被乙方</w:t>
      </w:r>
      <w:r w:rsidRPr="00842BFE">
        <w:rPr>
          <w:rFonts w:hint="eastAsia"/>
          <w:sz w:val="24"/>
        </w:rPr>
        <w:t>或代理销售机构</w:t>
      </w:r>
      <w:r w:rsidRPr="00842BFE">
        <w:rPr>
          <w:sz w:val="24"/>
        </w:rPr>
        <w:t>认定</w:t>
      </w:r>
      <w:r w:rsidRPr="00842BFE">
        <w:rPr>
          <w:rFonts w:hint="eastAsia"/>
          <w:sz w:val="24"/>
        </w:rPr>
        <w:t>风险评级为四级及以上（即中高</w:t>
      </w:r>
      <w:r w:rsidRPr="00842BFE">
        <w:rPr>
          <w:sz w:val="24"/>
        </w:rPr>
        <w:t>风</w:t>
      </w:r>
      <w:r w:rsidRPr="00842BFE">
        <w:rPr>
          <w:sz w:val="24"/>
        </w:rPr>
        <w:t>险和高风险</w:t>
      </w:r>
      <w:r w:rsidRPr="00842BFE">
        <w:rPr>
          <w:rFonts w:hint="eastAsia"/>
          <w:sz w:val="24"/>
        </w:rPr>
        <w:t>）的理财产品，甲方需前往乙方或代理销售机构认可</w:t>
      </w:r>
      <w:r w:rsidRPr="00842BFE">
        <w:rPr>
          <w:sz w:val="24"/>
        </w:rPr>
        <w:t>的</w:t>
      </w:r>
      <w:r w:rsidRPr="004A599D">
        <w:rPr>
          <w:rFonts w:ascii="宋体" w:hAnsi="宋体" w:hint="eastAsia"/>
          <w:sz w:val="24"/>
        </w:rPr>
        <w:t>营业网点进行购买，</w:t>
      </w:r>
      <w:r>
        <w:rPr>
          <w:rFonts w:hint="eastAsia"/>
          <w:sz w:val="24"/>
        </w:rPr>
        <w:t>但</w:t>
      </w:r>
      <w:r w:rsidRPr="004A599D">
        <w:rPr>
          <w:rFonts w:ascii="宋体" w:hAnsi="宋体" w:hint="eastAsia"/>
          <w:sz w:val="24"/>
        </w:rPr>
        <w:t>已与乙方或代理销售机构当面书面</w:t>
      </w:r>
      <w:r w:rsidRPr="004A599D">
        <w:rPr>
          <w:rFonts w:ascii="宋体" w:hAnsi="宋体" w:hint="eastAsia"/>
          <w:sz w:val="24"/>
        </w:rPr>
        <w:lastRenderedPageBreak/>
        <w:t>约定过的情况除外。甲方与乙方或代理销售机构已有当面书面约定的，即视为同意乙方及代理销售机构后续通过线上渠道</w:t>
      </w:r>
      <w:r w:rsidRPr="00842BFE">
        <w:rPr>
          <w:rFonts w:hint="eastAsia"/>
          <w:sz w:val="24"/>
        </w:rPr>
        <w:t>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11</w:t>
      </w:r>
      <w:r w:rsidRPr="004A599D">
        <w:rPr>
          <w:rFonts w:ascii="宋体" w:hAnsi="宋体" w:hint="eastAsia"/>
          <w:sz w:val="24"/>
        </w:rPr>
        <w:t>、</w:t>
      </w:r>
      <w:r w:rsidRPr="004A599D">
        <w:rPr>
          <w:rFonts w:ascii="宋体" w:hAnsi="宋体"/>
          <w:b/>
          <w:sz w:val="24"/>
        </w:rPr>
        <w:t>甲方承诺在产品存续期内，除非按照《</w:t>
      </w:r>
      <w:r w:rsidRPr="00431A8D">
        <w:rPr>
          <w:rFonts w:hint="eastAsia"/>
          <w:b/>
          <w:sz w:val="24"/>
        </w:rPr>
        <w:t>理财</w:t>
      </w:r>
      <w:r w:rsidRPr="00431A8D">
        <w:rPr>
          <w:b/>
          <w:sz w:val="24"/>
        </w:rPr>
        <w:t>产品说明书》约定行权终止理财产</w:t>
      </w:r>
      <w:r w:rsidRPr="00431A8D">
        <w:rPr>
          <w:rFonts w:hint="eastAsia"/>
          <w:b/>
          <w:sz w:val="24"/>
        </w:rPr>
        <w:t>品，否则不得要求乙方在产品到期日</w:t>
      </w:r>
      <w:r w:rsidRPr="00431A8D">
        <w:rPr>
          <w:b/>
          <w:sz w:val="24"/>
        </w:rPr>
        <w:t>或</w:t>
      </w:r>
      <w:r w:rsidRPr="004A599D">
        <w:rPr>
          <w:rFonts w:ascii="宋体" w:hAnsi="宋体" w:hint="eastAsia"/>
          <w:b/>
          <w:sz w:val="24"/>
        </w:rPr>
        <w:t>开放日前退还已扣划款项或以任何形式清算其持有的理财产品份额，且不得将甲方指定账户销户。</w:t>
      </w:r>
      <w:r w:rsidRPr="00842BFE">
        <w:rPr>
          <w:rFonts w:hint="eastAsia"/>
          <w:sz w:val="24"/>
        </w:rPr>
        <w:t>代理销售机构即为甲方指定账户开户银行的，代理销售机构有权拒绝甲方的销户请求并及时告知乙方。</w:t>
      </w:r>
    </w:p>
    <w:p w:rsidR="00842BFE" w:rsidRPr="004A599D" w:rsidRDefault="006A53B6" w:rsidP="00431A8D">
      <w:pPr>
        <w:pStyle w:val="Normalfd659043"/>
        <w:spacing w:line="360" w:lineRule="auto"/>
        <w:ind w:firstLineChars="200" w:firstLine="480"/>
        <w:rPr>
          <w:rFonts w:ascii="宋体" w:eastAsia="黑体" w:hAnsi="宋体"/>
          <w:sz w:val="24"/>
        </w:rPr>
      </w:pPr>
      <w:r w:rsidRPr="004A599D">
        <w:rPr>
          <w:rFonts w:ascii="宋体" w:hAnsi="宋体"/>
          <w:sz w:val="24"/>
        </w:rPr>
        <w:t>12</w:t>
      </w:r>
      <w:r w:rsidRPr="004A599D">
        <w:rPr>
          <w:rFonts w:ascii="宋体" w:hAnsi="宋体" w:hint="eastAsia"/>
          <w:sz w:val="24"/>
        </w:rPr>
        <w:t>、如因甲方原因，导致乙方对其他第三方承担赔偿责任的，甲方应承担相应的赔偿责任。</w:t>
      </w:r>
    </w:p>
    <w:p w:rsidR="00842BFE" w:rsidRPr="004A599D" w:rsidRDefault="006A53B6" w:rsidP="00431A8D">
      <w:pPr>
        <w:pStyle w:val="Normalfd659043"/>
        <w:spacing w:line="360" w:lineRule="auto"/>
        <w:ind w:firstLineChars="200" w:firstLine="480"/>
        <w:rPr>
          <w:rFonts w:ascii="宋体" w:hAnsi="宋体"/>
          <w:sz w:val="24"/>
        </w:rPr>
      </w:pPr>
      <w:r w:rsidRPr="004A599D">
        <w:rPr>
          <w:rFonts w:ascii="宋体" w:hAnsi="宋体"/>
          <w:sz w:val="24"/>
        </w:rPr>
        <w:t>13</w:t>
      </w:r>
      <w:r w:rsidRPr="004A599D">
        <w:rPr>
          <w:rFonts w:ascii="宋体" w:hAnsi="宋体" w:hint="eastAsia"/>
          <w:sz w:val="24"/>
        </w:rPr>
        <w:t>、法律</w:t>
      </w:r>
      <w:r>
        <w:rPr>
          <w:rFonts w:hint="eastAsia"/>
          <w:sz w:val="24"/>
        </w:rPr>
        <w:t>、</w:t>
      </w:r>
      <w:r w:rsidRPr="004A599D">
        <w:rPr>
          <w:rFonts w:ascii="宋体" w:hAnsi="宋体" w:hint="eastAsia"/>
          <w:sz w:val="24"/>
        </w:rPr>
        <w:t>法规、监管规定和其他在本产品所对应理财产品销售文件中约定的甲方的权利与义务。</w:t>
      </w:r>
    </w:p>
    <w:p w:rsidR="005F3C51" w:rsidRPr="004A599D" w:rsidRDefault="006A53B6">
      <w:pPr>
        <w:pStyle w:val="Normalfd659043"/>
        <w:spacing w:line="360" w:lineRule="auto"/>
        <w:ind w:left="482"/>
        <w:rPr>
          <w:rFonts w:ascii="宋体" w:hAnsi="宋体"/>
          <w:strike/>
          <w:sz w:val="24"/>
        </w:rPr>
      </w:pPr>
    </w:p>
    <w:p w:rsidR="00D0166A" w:rsidRPr="004A599D" w:rsidRDefault="006A53B6">
      <w:pPr>
        <w:pStyle w:val="Normalfd659043"/>
        <w:spacing w:line="360" w:lineRule="auto"/>
        <w:ind w:left="482"/>
        <w:rPr>
          <w:rFonts w:ascii="宋体" w:eastAsia="黑体" w:hAnsi="宋体"/>
          <w:b/>
          <w:sz w:val="24"/>
        </w:rPr>
      </w:pPr>
      <w:r w:rsidRPr="004A599D">
        <w:rPr>
          <w:rFonts w:ascii="宋体" w:hAnsi="宋体" w:hint="eastAsia"/>
          <w:b/>
          <w:sz w:val="24"/>
        </w:rPr>
        <w:t>（二）乙方权利与义务</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1</w:t>
      </w:r>
      <w:r w:rsidRPr="004A599D">
        <w:rPr>
          <w:rFonts w:ascii="宋体" w:hAnsi="宋体" w:hint="eastAsia"/>
          <w:color w:val="000000" w:themeColor="text1"/>
          <w:sz w:val="24"/>
        </w:rPr>
        <w:t>、乙方有权依据</w:t>
      </w:r>
      <w:r w:rsidRPr="004A599D">
        <w:rPr>
          <w:rFonts w:hint="eastAsia"/>
          <w:color w:val="000000" w:themeColor="text1"/>
          <w:sz w:val="24"/>
        </w:rPr>
        <w:t>法律、法规</w:t>
      </w:r>
      <w:r w:rsidRPr="004A599D">
        <w:rPr>
          <w:color w:val="000000" w:themeColor="text1"/>
          <w:sz w:val="24"/>
        </w:rPr>
        <w:t>、</w:t>
      </w:r>
      <w:r w:rsidRPr="004A599D">
        <w:rPr>
          <w:rFonts w:ascii="宋体" w:hAnsi="宋体" w:hint="eastAsia"/>
          <w:color w:val="000000" w:themeColor="text1"/>
          <w:sz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DF0A09" w:rsidRPr="004A599D" w:rsidRDefault="006A53B6" w:rsidP="00DF0A09">
      <w:pPr>
        <w:pStyle w:val="Normalfd659043"/>
        <w:spacing w:line="360" w:lineRule="auto"/>
        <w:ind w:firstLineChars="200" w:firstLine="480"/>
        <w:rPr>
          <w:rFonts w:ascii="宋体" w:hAnsi="宋体"/>
          <w:b/>
          <w:color w:val="000000" w:themeColor="text1"/>
          <w:sz w:val="24"/>
          <w:highlight w:val="yellow"/>
        </w:rPr>
      </w:pPr>
      <w:r w:rsidRPr="004A599D">
        <w:rPr>
          <w:rFonts w:ascii="宋体" w:hAnsi="宋体"/>
          <w:color w:val="000000" w:themeColor="text1"/>
          <w:sz w:val="24"/>
        </w:rPr>
        <w:t>2</w:t>
      </w:r>
      <w:r w:rsidRPr="004A599D">
        <w:rPr>
          <w:rFonts w:ascii="宋体" w:hAnsi="宋体" w:hint="eastAsia"/>
          <w:color w:val="000000" w:themeColor="text1"/>
          <w:sz w:val="24"/>
        </w:rPr>
        <w:t>、乙方有权以产品管理人名义</w:t>
      </w:r>
      <w:r w:rsidRPr="004A599D">
        <w:rPr>
          <w:color w:val="000000" w:themeColor="text1"/>
          <w:sz w:val="24"/>
        </w:rPr>
        <w:t>,</w:t>
      </w:r>
      <w:r w:rsidRPr="004A599D">
        <w:rPr>
          <w:rFonts w:ascii="宋体" w:hAnsi="宋体"/>
          <w:color w:val="000000" w:themeColor="text1"/>
          <w:sz w:val="24"/>
        </w:rPr>
        <w:t>全权负责</w:t>
      </w:r>
      <w:r w:rsidRPr="004A599D">
        <w:rPr>
          <w:rFonts w:hint="eastAsia"/>
          <w:color w:val="000000" w:themeColor="text1"/>
          <w:sz w:val="24"/>
        </w:rPr>
        <w:t>本</w:t>
      </w:r>
      <w:r w:rsidRPr="004A599D">
        <w:rPr>
          <w:rFonts w:ascii="宋体" w:hAnsi="宋体"/>
          <w:color w:val="000000" w:themeColor="text1"/>
          <w:sz w:val="24"/>
        </w:rPr>
        <w:t>理财产品资金的运用和理财产品资产的管理</w:t>
      </w:r>
      <w:r w:rsidRPr="004A599D">
        <w:rPr>
          <w:color w:val="000000" w:themeColor="text1"/>
          <w:sz w:val="24"/>
        </w:rPr>
        <w:t>,</w:t>
      </w:r>
      <w:r w:rsidRPr="004A599D">
        <w:rPr>
          <w:rFonts w:ascii="宋体" w:hAnsi="宋体" w:hint="eastAsia"/>
          <w:color w:val="000000" w:themeColor="text1"/>
          <w:sz w:val="24"/>
        </w:rPr>
        <w:t>代表投资者利益行使诉讼权利或者实施其他法律行为，例如代表理财产品及其全部投资人参加与理财产品所投资资产相关的所有会议，并对相关事项进行表决；</w:t>
      </w:r>
      <w:r w:rsidRPr="004A599D">
        <w:rPr>
          <w:color w:val="000000" w:themeColor="text1"/>
          <w:sz w:val="24"/>
        </w:rPr>
        <w:t>代表</w:t>
      </w:r>
      <w:r w:rsidRPr="004A599D">
        <w:rPr>
          <w:rFonts w:hint="eastAsia"/>
          <w:color w:val="000000" w:themeColor="text1"/>
          <w:sz w:val="24"/>
        </w:rPr>
        <w:t>投资者</w:t>
      </w:r>
      <w:r w:rsidRPr="004A599D">
        <w:rPr>
          <w:color w:val="000000" w:themeColor="text1"/>
          <w:sz w:val="24"/>
        </w:rPr>
        <w:t>利益</w:t>
      </w:r>
      <w:r w:rsidRPr="004A599D">
        <w:rPr>
          <w:color w:val="000000" w:themeColor="text1"/>
          <w:sz w:val="24"/>
        </w:rPr>
        <w:t>,</w:t>
      </w:r>
      <w:r w:rsidRPr="004A599D">
        <w:rPr>
          <w:rFonts w:ascii="宋体" w:hAnsi="宋体"/>
          <w:color w:val="000000" w:themeColor="text1"/>
          <w:sz w:val="24"/>
        </w:rPr>
        <w:t>按照法律</w:t>
      </w:r>
      <w:r w:rsidRPr="004A599D">
        <w:rPr>
          <w:rFonts w:hint="eastAsia"/>
          <w:color w:val="000000" w:themeColor="text1"/>
          <w:sz w:val="24"/>
        </w:rPr>
        <w:t>、</w:t>
      </w:r>
      <w:r w:rsidRPr="004A599D">
        <w:rPr>
          <w:rFonts w:ascii="宋体" w:hAnsi="宋体"/>
          <w:color w:val="000000" w:themeColor="text1"/>
          <w:sz w:val="24"/>
        </w:rPr>
        <w:t>法规和监管</w:t>
      </w:r>
      <w:r w:rsidRPr="004A599D">
        <w:rPr>
          <w:rFonts w:hint="eastAsia"/>
          <w:color w:val="000000" w:themeColor="text1"/>
          <w:sz w:val="24"/>
        </w:rPr>
        <w:t>规定对理财产品投资产生的风险资产进行多种方式的处置</w:t>
      </w:r>
      <w:r w:rsidRPr="004A599D">
        <w:rPr>
          <w:color w:val="000000" w:themeColor="text1"/>
          <w:sz w:val="24"/>
        </w:rPr>
        <w:t>,</w:t>
      </w:r>
      <w:r w:rsidRPr="004A599D">
        <w:rPr>
          <w:rFonts w:ascii="宋体" w:hAnsi="宋体"/>
          <w:color w:val="000000" w:themeColor="text1"/>
          <w:sz w:val="24"/>
        </w:rPr>
        <w:t>包括但不限</w:t>
      </w:r>
      <w:r w:rsidRPr="004A599D">
        <w:rPr>
          <w:rFonts w:ascii="宋体" w:hAnsi="宋体"/>
          <w:color w:val="000000" w:themeColor="text1"/>
          <w:sz w:val="24"/>
        </w:rPr>
        <w:t>于转让、重组、债转股、资</w:t>
      </w:r>
      <w:r w:rsidRPr="004A599D">
        <w:rPr>
          <w:rFonts w:hint="eastAsia"/>
          <w:color w:val="000000" w:themeColor="text1"/>
          <w:sz w:val="24"/>
        </w:rPr>
        <w:t>产证券化、委外催收、抵债资产收取与处置、破产重整等</w:t>
      </w:r>
      <w:r w:rsidRPr="004A599D">
        <w:rPr>
          <w:color w:val="000000" w:themeColor="text1"/>
          <w:sz w:val="24"/>
        </w:rPr>
        <w:t>，由此产生的费用和法律后果由理财产品承担</w:t>
      </w:r>
      <w:r w:rsidRPr="004A599D">
        <w:rPr>
          <w:rFonts w:hint="eastAsia"/>
          <w:color w:val="000000" w:themeColor="text1"/>
          <w:sz w:val="24"/>
        </w:rPr>
        <w:t>。</w:t>
      </w:r>
      <w:r w:rsidRPr="004A599D">
        <w:rPr>
          <w:rFonts w:ascii="宋体" w:hAnsi="宋体" w:hint="eastAsia"/>
          <w:b/>
          <w:color w:val="000000" w:themeColor="text1"/>
          <w:sz w:val="24"/>
        </w:rPr>
        <w:t>在理财产品投资过程中发生任何争议，乙方有权以产品管理人的名</w:t>
      </w:r>
      <w:r w:rsidRPr="004A599D">
        <w:rPr>
          <w:b/>
          <w:color w:val="000000" w:themeColor="text1"/>
          <w:sz w:val="24"/>
        </w:rPr>
        <w:t>义代表理财产品进行维权，行使包括但不限于提起诉讼</w:t>
      </w:r>
      <w:r w:rsidRPr="004A599D">
        <w:rPr>
          <w:b/>
          <w:color w:val="000000" w:themeColor="text1"/>
          <w:sz w:val="24"/>
        </w:rPr>
        <w:t>/</w:t>
      </w:r>
      <w:r w:rsidRPr="004A599D">
        <w:rPr>
          <w:rFonts w:ascii="宋体" w:hAnsi="宋体"/>
          <w:b/>
          <w:color w:val="000000" w:themeColor="text1"/>
          <w:sz w:val="24"/>
        </w:rPr>
        <w:t>仲裁、申请</w:t>
      </w:r>
      <w:r w:rsidRPr="004A599D">
        <w:rPr>
          <w:b/>
          <w:color w:val="000000" w:themeColor="text1"/>
          <w:sz w:val="24"/>
        </w:rPr>
        <w:t>保全</w:t>
      </w:r>
      <w:r w:rsidRPr="004A599D">
        <w:rPr>
          <w:b/>
          <w:color w:val="000000" w:themeColor="text1"/>
          <w:sz w:val="24"/>
        </w:rPr>
        <w:t>/</w:t>
      </w:r>
      <w:r w:rsidRPr="004A599D">
        <w:rPr>
          <w:rFonts w:ascii="宋体" w:hAnsi="宋体"/>
          <w:b/>
          <w:color w:val="000000" w:themeColor="text1"/>
          <w:sz w:val="24"/>
        </w:rPr>
        <w:t>执行等权利，由此产生的费用和法律后果由理财产品承担</w:t>
      </w:r>
      <w:r w:rsidRPr="004A599D">
        <w:rPr>
          <w:rFonts w:hint="eastAsia"/>
          <w:b/>
          <w:color w:val="000000" w:themeColor="text1"/>
          <w:sz w:val="24"/>
        </w:rPr>
        <w:t>。甲方对此充分理解并同意该</w:t>
      </w:r>
      <w:r w:rsidRPr="004A599D">
        <w:rPr>
          <w:rFonts w:hint="eastAsia"/>
          <w:b/>
          <w:color w:val="000000" w:themeColor="text1"/>
          <w:sz w:val="24"/>
        </w:rPr>
        <w:lastRenderedPageBreak/>
        <w:t>等授权安排。</w:t>
      </w:r>
      <w:r w:rsidRPr="004A599D">
        <w:rPr>
          <w:b/>
          <w:color w:val="000000" w:themeColor="text1"/>
          <w:sz w:val="24"/>
        </w:rPr>
        <w:t>乙方采取上述行动所产生的费用</w:t>
      </w:r>
      <w:r w:rsidRPr="004A599D">
        <w:rPr>
          <w:rFonts w:hint="eastAsia"/>
          <w:b/>
          <w:color w:val="000000" w:themeColor="text1"/>
          <w:sz w:val="24"/>
        </w:rPr>
        <w:t>，</w:t>
      </w:r>
      <w:r w:rsidRPr="004A599D">
        <w:rPr>
          <w:rFonts w:ascii="宋体" w:hAnsi="宋体"/>
          <w:b/>
          <w:color w:val="000000" w:themeColor="text1"/>
          <w:sz w:val="24"/>
        </w:rPr>
        <w:t>若乙方进行垫付的，乙方有权直接从理财产品财产中优先受偿。</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3</w:t>
      </w:r>
      <w:r w:rsidRPr="004A599D">
        <w:rPr>
          <w:rFonts w:ascii="宋体" w:hAnsi="宋体" w:hint="eastAsia"/>
          <w:color w:val="000000" w:themeColor="text1"/>
          <w:sz w:val="24"/>
        </w:rPr>
        <w:t>、</w:t>
      </w:r>
      <w:r w:rsidRPr="004A599D">
        <w:rPr>
          <w:rFonts w:ascii="宋体" w:hAnsi="宋体"/>
          <w:b/>
          <w:color w:val="000000" w:themeColor="text1"/>
          <w:sz w:val="24"/>
        </w:rPr>
        <w:t>乙方有权依照《理财产品说明书》</w:t>
      </w:r>
      <w:r w:rsidRPr="004A599D">
        <w:rPr>
          <w:rFonts w:hint="eastAsia"/>
          <w:b/>
          <w:color w:val="000000" w:themeColor="text1"/>
          <w:sz w:val="24"/>
        </w:rPr>
        <w:t>的</w:t>
      </w:r>
      <w:r w:rsidRPr="004A599D">
        <w:rPr>
          <w:rFonts w:ascii="宋体" w:hAnsi="宋体"/>
          <w:b/>
          <w:color w:val="000000" w:themeColor="text1"/>
          <w:sz w:val="24"/>
        </w:rPr>
        <w:t>约定收取</w:t>
      </w:r>
      <w:r w:rsidRPr="004A599D">
        <w:rPr>
          <w:rFonts w:hint="eastAsia"/>
          <w:b/>
          <w:color w:val="000000" w:themeColor="text1"/>
          <w:sz w:val="24"/>
        </w:rPr>
        <w:t>固定管理费、浮动管理费、销售服务费等</w:t>
      </w:r>
      <w:r w:rsidRPr="004A599D">
        <w:rPr>
          <w:b/>
          <w:color w:val="000000" w:themeColor="text1"/>
          <w:sz w:val="24"/>
        </w:rPr>
        <w:t>理</w:t>
      </w:r>
      <w:r w:rsidRPr="004A599D">
        <w:rPr>
          <w:rFonts w:ascii="宋体" w:hAnsi="宋体" w:hint="eastAsia"/>
          <w:b/>
          <w:color w:val="000000" w:themeColor="text1"/>
          <w:sz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4</w:t>
      </w:r>
      <w:r w:rsidRPr="004A599D">
        <w:rPr>
          <w:rFonts w:ascii="宋体" w:hAnsi="宋体" w:hint="eastAsia"/>
          <w:color w:val="000000" w:themeColor="text1"/>
          <w:sz w:val="24"/>
        </w:rPr>
        <w:t>、乙方有权按照《理财产品说明书》的约定确定收益分配方案、向甲方分配收益。</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5</w:t>
      </w:r>
      <w:r w:rsidRPr="004A599D">
        <w:rPr>
          <w:rFonts w:ascii="宋体" w:hAnsi="宋体" w:hint="eastAsia"/>
          <w:color w:val="000000" w:themeColor="text1"/>
          <w:sz w:val="24"/>
        </w:rPr>
        <w:t>、乙方有权按照《理财产品说明书》的约定披露理财产品相关信息。相关信息披露内容构成理财产品销售文件不可分割的一部分，与理财产品销售文件具有同等效力，甲方应在充分知晓、理解有关信息披露内容后签署本协议，并在签署本协议后通过约定的信息披露</w:t>
      </w:r>
      <w:r w:rsidRPr="004A599D">
        <w:rPr>
          <w:rFonts w:ascii="宋体" w:hAnsi="宋体" w:hint="eastAsia"/>
          <w:color w:val="000000" w:themeColor="text1"/>
          <w:sz w:val="24"/>
        </w:rPr>
        <w:t>渠道持续关注理财产品信息披露内容。</w:t>
      </w:r>
    </w:p>
    <w:p w:rsidR="00DF0A09" w:rsidRPr="004A599D" w:rsidRDefault="006A53B6" w:rsidP="00DF0A09">
      <w:pPr>
        <w:pStyle w:val="Normalfd659043"/>
        <w:spacing w:line="360" w:lineRule="auto"/>
        <w:ind w:firstLineChars="200" w:firstLine="482"/>
        <w:rPr>
          <w:rFonts w:ascii="宋体" w:hAnsi="宋体"/>
          <w:b/>
          <w:color w:val="000000" w:themeColor="text1"/>
          <w:sz w:val="24"/>
        </w:rPr>
      </w:pPr>
      <w:r w:rsidRPr="004A599D">
        <w:rPr>
          <w:rFonts w:ascii="宋体" w:hAnsi="宋体"/>
          <w:b/>
          <w:color w:val="000000" w:themeColor="text1"/>
          <w:sz w:val="24"/>
        </w:rPr>
        <w:t>6</w:t>
      </w:r>
      <w:r w:rsidRPr="004A599D">
        <w:rPr>
          <w:rFonts w:ascii="宋体" w:hAnsi="宋体" w:hint="eastAsia"/>
          <w:b/>
          <w:color w:val="000000" w:themeColor="text1"/>
          <w:sz w:val="24"/>
        </w:rPr>
        <w:t>、</w:t>
      </w:r>
      <w:r w:rsidRPr="004A599D">
        <w:rPr>
          <w:rFonts w:ascii="宋体" w:hAnsi="宋体"/>
          <w:b/>
          <w:color w:val="000000" w:themeColor="text1"/>
          <w:sz w:val="24"/>
        </w:rPr>
        <w:t>基于乙方履行本协议、进行服务管理和风险管理、报送监管信息</w:t>
      </w:r>
      <w:r w:rsidRPr="004A599D">
        <w:rPr>
          <w:rFonts w:hint="eastAsia"/>
          <w:b/>
          <w:color w:val="000000" w:themeColor="text1"/>
          <w:sz w:val="24"/>
        </w:rPr>
        <w:t>、</w:t>
      </w:r>
      <w:r w:rsidRPr="004A599D">
        <w:rPr>
          <w:rFonts w:ascii="宋体" w:hAnsi="宋体"/>
          <w:b/>
          <w:color w:val="000000" w:themeColor="text1"/>
          <w:sz w:val="24"/>
        </w:rPr>
        <w:t>履行反洗钱、</w:t>
      </w:r>
      <w:r w:rsidRPr="004A599D">
        <w:rPr>
          <w:rFonts w:hint="eastAsia"/>
          <w:b/>
          <w:color w:val="000000" w:themeColor="text1"/>
          <w:sz w:val="24"/>
        </w:rPr>
        <w:t>反恐怖融资、非居民金融账户涉税信息尽职调查</w:t>
      </w:r>
      <w:r w:rsidRPr="004A599D">
        <w:rPr>
          <w:rFonts w:hint="eastAsia"/>
          <w:b/>
          <w:color w:val="000000" w:themeColor="text1"/>
          <w:sz w:val="24"/>
        </w:rPr>
        <w:t>、</w:t>
      </w:r>
      <w:r w:rsidRPr="004A599D">
        <w:rPr>
          <w:rFonts w:ascii="宋体" w:hAnsi="宋体"/>
          <w:b/>
          <w:color w:val="000000" w:themeColor="text1"/>
          <w:sz w:val="24"/>
        </w:rPr>
        <w:t>投资者资质审核和销售适当性等法律</w:t>
      </w:r>
      <w:r w:rsidRPr="004A599D">
        <w:rPr>
          <w:rFonts w:hint="eastAsia"/>
          <w:b/>
          <w:color w:val="000000" w:themeColor="text1"/>
          <w:sz w:val="24"/>
        </w:rPr>
        <w:t>、</w:t>
      </w:r>
      <w:r w:rsidRPr="004A599D">
        <w:rPr>
          <w:rFonts w:ascii="宋体" w:hAnsi="宋体"/>
          <w:b/>
          <w:color w:val="000000" w:themeColor="text1"/>
          <w:sz w:val="24"/>
        </w:rPr>
        <w:t>法规和监管要求义务</w:t>
      </w:r>
      <w:r w:rsidRPr="004A599D">
        <w:rPr>
          <w:rFonts w:hint="eastAsia"/>
          <w:b/>
          <w:color w:val="000000" w:themeColor="text1"/>
          <w:sz w:val="24"/>
        </w:rPr>
        <w:t>的</w:t>
      </w:r>
      <w:r w:rsidRPr="004A599D">
        <w:rPr>
          <w:rFonts w:ascii="宋体" w:hAnsi="宋体"/>
          <w:b/>
          <w:color w:val="000000" w:themeColor="text1"/>
          <w:sz w:val="24"/>
        </w:rPr>
        <w:t>需要</w:t>
      </w:r>
      <w:r w:rsidRPr="004A599D">
        <w:rPr>
          <w:b/>
          <w:color w:val="000000" w:themeColor="text1"/>
          <w:sz w:val="24"/>
        </w:rPr>
        <w:t>，乙方</w:t>
      </w:r>
      <w:r w:rsidRPr="004A599D">
        <w:rPr>
          <w:rFonts w:hint="eastAsia"/>
          <w:b/>
          <w:color w:val="000000" w:themeColor="text1"/>
          <w:sz w:val="24"/>
        </w:rPr>
        <w:t>有权</w:t>
      </w:r>
      <w:r w:rsidRPr="004A599D">
        <w:rPr>
          <w:b/>
          <w:color w:val="000000" w:themeColor="text1"/>
          <w:sz w:val="24"/>
        </w:rPr>
        <w:t>在业务办理或履行过程</w:t>
      </w:r>
      <w:r w:rsidRPr="004A599D">
        <w:rPr>
          <w:rFonts w:ascii="宋体" w:hAnsi="宋体"/>
          <w:b/>
          <w:color w:val="000000" w:themeColor="text1"/>
          <w:sz w:val="24"/>
        </w:rPr>
        <w:t>中</w:t>
      </w:r>
      <w:r w:rsidRPr="004A599D">
        <w:rPr>
          <w:rFonts w:ascii="宋体" w:hAnsi="宋体" w:hint="eastAsia"/>
          <w:b/>
          <w:color w:val="000000" w:themeColor="text1"/>
          <w:sz w:val="24"/>
        </w:rPr>
        <w:t>直接或通过代理销售机构间接获取并报送甲方身份信息、账户信息及其持有理财产品等信息</w:t>
      </w:r>
      <w:r w:rsidRPr="004A599D">
        <w:rPr>
          <w:rFonts w:hint="eastAsia"/>
          <w:b/>
          <w:color w:val="000000" w:themeColor="text1"/>
          <w:sz w:val="24"/>
        </w:rPr>
        <w:t>；</w:t>
      </w:r>
      <w:r w:rsidRPr="004A599D">
        <w:rPr>
          <w:rFonts w:ascii="宋体" w:hAnsi="宋体"/>
          <w:b/>
          <w:color w:val="000000" w:themeColor="text1"/>
          <w:sz w:val="24"/>
        </w:rPr>
        <w:t>在乙方办理本协议项下相关事项所必需的情形下，</w:t>
      </w:r>
      <w:r w:rsidRPr="004A599D">
        <w:rPr>
          <w:rFonts w:hint="eastAsia"/>
          <w:b/>
          <w:color w:val="000000" w:themeColor="text1"/>
          <w:sz w:val="24"/>
        </w:rPr>
        <w:t>乙方有权</w:t>
      </w:r>
      <w:r w:rsidRPr="004A599D">
        <w:rPr>
          <w:b/>
          <w:color w:val="000000" w:themeColor="text1"/>
          <w:sz w:val="24"/>
        </w:rPr>
        <w:t>向乙方集团成员、服务机构及其他乙方认为必要的业务合作机构（包括但不限于代理销售机构）提供乙方获取的甲方信息，范围包括但不限于甲方的身份信息、账户信息等。接收信息的上述第三方将为处理本协议项下事务之目的接触并按照乙方的业务需要使用甲方信息。乙方承诺将向有关第三方明确其保护甲</w:t>
      </w:r>
      <w:r w:rsidRPr="004A599D">
        <w:rPr>
          <w:rFonts w:hint="eastAsia"/>
          <w:b/>
          <w:color w:val="000000" w:themeColor="text1"/>
          <w:sz w:val="24"/>
        </w:rPr>
        <w:t>方信息的职责并要求第三方承担相应保密义务。</w:t>
      </w:r>
    </w:p>
    <w:p w:rsidR="00DF0A09" w:rsidRPr="004A599D" w:rsidRDefault="006A53B6" w:rsidP="00DF0A09">
      <w:pPr>
        <w:pStyle w:val="Normalfd659043"/>
        <w:adjustRightInd w:val="0"/>
        <w:snapToGrid w:val="0"/>
        <w:spacing w:line="360" w:lineRule="auto"/>
        <w:ind w:firstLineChars="200" w:firstLine="480"/>
        <w:jc w:val="left"/>
        <w:rPr>
          <w:rFonts w:ascii="宋体" w:hAnsi="宋体"/>
          <w:b/>
          <w:color w:val="000000" w:themeColor="text1"/>
          <w:sz w:val="24"/>
        </w:rPr>
      </w:pPr>
      <w:r w:rsidRPr="004A599D">
        <w:rPr>
          <w:rFonts w:ascii="宋体" w:hAnsi="宋体"/>
          <w:color w:val="000000" w:themeColor="text1"/>
          <w:sz w:val="24"/>
        </w:rPr>
        <w:t>7</w:t>
      </w:r>
      <w:r w:rsidRPr="004A599D">
        <w:rPr>
          <w:rFonts w:ascii="宋体" w:hAnsi="宋体" w:hint="eastAsia"/>
          <w:color w:val="000000" w:themeColor="text1"/>
          <w:sz w:val="24"/>
        </w:rPr>
        <w:t>、乙方有义务按照《理财产品说明书》的约定</w:t>
      </w:r>
      <w:r w:rsidRPr="004A599D">
        <w:rPr>
          <w:color w:val="000000" w:themeColor="text1"/>
          <w:sz w:val="24"/>
        </w:rPr>
        <w:t>在理财产品资金清算日</w:t>
      </w:r>
      <w:r w:rsidRPr="004A599D">
        <w:rPr>
          <w:rFonts w:hint="eastAsia"/>
          <w:color w:val="000000" w:themeColor="text1"/>
          <w:sz w:val="24"/>
        </w:rPr>
        <w:t>将应支付甲方的理财</w:t>
      </w:r>
      <w:r w:rsidRPr="004A599D">
        <w:rPr>
          <w:rFonts w:hint="eastAsia"/>
          <w:color w:val="000000" w:themeColor="text1"/>
          <w:sz w:val="24"/>
        </w:rPr>
        <w:t>产品投资</w:t>
      </w:r>
      <w:r w:rsidRPr="004A599D">
        <w:rPr>
          <w:rFonts w:hint="eastAsia"/>
          <w:color w:val="000000" w:themeColor="text1"/>
          <w:sz w:val="24"/>
        </w:rPr>
        <w:t>本金（如有）及收益（如有）划入到甲方指定账户。如因甲方原因导致理财产品投资本金和</w:t>
      </w:r>
      <w:r w:rsidRPr="004A599D">
        <w:rPr>
          <w:color w:val="000000" w:themeColor="text1"/>
          <w:sz w:val="24"/>
        </w:rPr>
        <w:t>/</w:t>
      </w:r>
      <w:r w:rsidRPr="004A599D">
        <w:rPr>
          <w:rFonts w:ascii="宋体" w:hAnsi="宋体" w:hint="eastAsia"/>
          <w:color w:val="000000" w:themeColor="text1"/>
          <w:sz w:val="24"/>
        </w:rPr>
        <w:t>或收益无法入账的，由此导致损失</w:t>
      </w:r>
      <w:r w:rsidRPr="004A599D">
        <w:rPr>
          <w:color w:val="000000" w:themeColor="text1"/>
          <w:sz w:val="24"/>
        </w:rPr>
        <w:t>的，</w:t>
      </w:r>
      <w:r w:rsidRPr="004A599D">
        <w:rPr>
          <w:rFonts w:hint="eastAsia"/>
          <w:color w:val="000000" w:themeColor="text1"/>
          <w:sz w:val="24"/>
        </w:rPr>
        <w:t>由甲方承担，</w:t>
      </w:r>
      <w:r w:rsidRPr="004A599D">
        <w:rPr>
          <w:color w:val="000000" w:themeColor="text1"/>
          <w:sz w:val="24"/>
        </w:rPr>
        <w:t>乙方不承担</w:t>
      </w:r>
      <w:r w:rsidRPr="004A599D">
        <w:rPr>
          <w:rFonts w:hint="eastAsia"/>
          <w:color w:val="000000" w:themeColor="text1"/>
          <w:sz w:val="24"/>
        </w:rPr>
        <w:t>责任。甲方通过代理销售机构投资乙方理财产品时，乙方将理财</w:t>
      </w:r>
      <w:r w:rsidRPr="004A599D">
        <w:rPr>
          <w:rFonts w:hint="eastAsia"/>
          <w:color w:val="000000" w:themeColor="text1"/>
          <w:sz w:val="24"/>
        </w:rPr>
        <w:t>产品投资</w:t>
      </w:r>
      <w:r w:rsidRPr="004A599D">
        <w:rPr>
          <w:rFonts w:hint="eastAsia"/>
          <w:color w:val="000000" w:themeColor="text1"/>
          <w:sz w:val="24"/>
        </w:rPr>
        <w:t>本金（如有）及收益（如有）划入代理销售机构指定账户后，即视为完成乙方的支付义务。如因甲方或代理销售机构原因导致理财产品投资本金或收益无法划入甲方指定账户的，乙方不承担责任。从到期日至资金</w:t>
      </w:r>
      <w:r w:rsidRPr="004A599D">
        <w:rPr>
          <w:rFonts w:hint="eastAsia"/>
          <w:color w:val="000000" w:themeColor="text1"/>
          <w:sz w:val="24"/>
        </w:rPr>
        <w:lastRenderedPageBreak/>
        <w:t>清算日的期间不计付利息。</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8</w:t>
      </w:r>
      <w:r w:rsidRPr="004A599D">
        <w:rPr>
          <w:rFonts w:ascii="宋体" w:hAnsi="宋体" w:hint="eastAsia"/>
          <w:color w:val="000000" w:themeColor="text1"/>
          <w:sz w:val="24"/>
        </w:rPr>
        <w:t>、除法律</w:t>
      </w:r>
      <w:r w:rsidRPr="004A599D">
        <w:rPr>
          <w:rFonts w:hint="eastAsia"/>
          <w:color w:val="000000" w:themeColor="text1"/>
          <w:sz w:val="24"/>
        </w:rPr>
        <w:t>、</w:t>
      </w:r>
      <w:r w:rsidRPr="004A599D">
        <w:rPr>
          <w:rFonts w:ascii="宋体" w:hAnsi="宋体" w:hint="eastAsia"/>
          <w:color w:val="000000" w:themeColor="text1"/>
          <w:sz w:val="24"/>
        </w:rPr>
        <w:t>法规、监管规定另有</w:t>
      </w:r>
      <w:r w:rsidRPr="004A599D">
        <w:rPr>
          <w:rFonts w:hint="eastAsia"/>
          <w:color w:val="000000" w:themeColor="text1"/>
          <w:sz w:val="24"/>
        </w:rPr>
        <w:t>规定</w:t>
      </w:r>
      <w:r w:rsidRPr="004A599D">
        <w:rPr>
          <w:rFonts w:hint="eastAsia"/>
          <w:color w:val="000000" w:themeColor="text1"/>
          <w:sz w:val="24"/>
        </w:rPr>
        <w:t>或双方另有约定外，乙方不负责代扣代缴甲方应缴纳的税款。</w:t>
      </w:r>
    </w:p>
    <w:p w:rsidR="00DF0A09" w:rsidRPr="004A599D" w:rsidRDefault="006A53B6" w:rsidP="00DF0A09">
      <w:pPr>
        <w:pStyle w:val="Normalfd659043"/>
        <w:spacing w:line="360" w:lineRule="auto"/>
        <w:ind w:firstLineChars="200" w:firstLine="480"/>
        <w:rPr>
          <w:rFonts w:ascii="宋体" w:hAnsi="宋体"/>
          <w:b/>
          <w:color w:val="000000" w:themeColor="text1"/>
          <w:sz w:val="24"/>
        </w:rPr>
      </w:pPr>
      <w:r w:rsidRPr="004A599D">
        <w:rPr>
          <w:rFonts w:ascii="宋体" w:hAnsi="宋体"/>
          <w:color w:val="000000" w:themeColor="text1"/>
          <w:sz w:val="24"/>
        </w:rPr>
        <w:t>9</w:t>
      </w:r>
      <w:r w:rsidRPr="004A599D">
        <w:rPr>
          <w:rFonts w:ascii="宋体" w:hAnsi="宋体" w:hint="eastAsia"/>
          <w:color w:val="000000" w:themeColor="text1"/>
          <w:sz w:val="24"/>
        </w:rPr>
        <w:t>、乙方接受甲方的委托和授权，按照法律</w:t>
      </w:r>
      <w:r w:rsidRPr="004A599D">
        <w:rPr>
          <w:rFonts w:hint="eastAsia"/>
          <w:color w:val="000000" w:themeColor="text1"/>
          <w:sz w:val="24"/>
        </w:rPr>
        <w:t>、</w:t>
      </w:r>
      <w:r w:rsidRPr="004A599D">
        <w:rPr>
          <w:rFonts w:ascii="宋体" w:hAnsi="宋体" w:hint="eastAsia"/>
          <w:color w:val="000000" w:themeColor="text1"/>
          <w:sz w:val="24"/>
        </w:rPr>
        <w:t>法规</w:t>
      </w:r>
      <w:r w:rsidRPr="004A599D">
        <w:rPr>
          <w:rFonts w:hint="eastAsia"/>
          <w:color w:val="000000" w:themeColor="text1"/>
          <w:sz w:val="24"/>
        </w:rPr>
        <w:t>、</w:t>
      </w:r>
      <w:r w:rsidRPr="004A599D">
        <w:rPr>
          <w:rFonts w:ascii="宋体" w:hAnsi="宋体" w:hint="eastAsia"/>
          <w:color w:val="000000" w:themeColor="text1"/>
          <w:sz w:val="24"/>
        </w:rPr>
        <w:t>监管</w:t>
      </w:r>
      <w:r w:rsidRPr="004A599D">
        <w:rPr>
          <w:rFonts w:hint="eastAsia"/>
          <w:color w:val="000000" w:themeColor="text1"/>
          <w:sz w:val="24"/>
        </w:rPr>
        <w:t>规定以及</w:t>
      </w:r>
      <w:r w:rsidRPr="004A599D">
        <w:rPr>
          <w:color w:val="000000" w:themeColor="text1"/>
          <w:sz w:val="24"/>
        </w:rPr>
        <w:t>理财产品</w:t>
      </w:r>
      <w:r w:rsidRPr="004A599D">
        <w:rPr>
          <w:rFonts w:hint="eastAsia"/>
          <w:color w:val="000000" w:themeColor="text1"/>
          <w:sz w:val="24"/>
        </w:rPr>
        <w:t>销售</w:t>
      </w:r>
      <w:r w:rsidRPr="004A599D">
        <w:rPr>
          <w:color w:val="000000" w:themeColor="text1"/>
          <w:sz w:val="24"/>
        </w:rPr>
        <w:t>文件的约定</w:t>
      </w:r>
      <w:r w:rsidRPr="004A599D">
        <w:rPr>
          <w:rFonts w:hint="eastAsia"/>
          <w:color w:val="000000" w:themeColor="text1"/>
          <w:sz w:val="24"/>
        </w:rPr>
        <w:t>，遵循诚实</w:t>
      </w:r>
      <w:r w:rsidRPr="004A599D">
        <w:rPr>
          <w:rFonts w:hint="eastAsia"/>
          <w:color w:val="000000" w:themeColor="text1"/>
          <w:sz w:val="24"/>
        </w:rPr>
        <w:t>信用、勤勉尽责的原则履行受托管理职责，维护甲方合法权益</w:t>
      </w:r>
      <w:r w:rsidRPr="004A599D">
        <w:rPr>
          <w:rFonts w:hint="eastAsia"/>
          <w:b/>
          <w:color w:val="000000" w:themeColor="text1"/>
          <w:sz w:val="24"/>
        </w:rPr>
        <w:t>。</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10</w:t>
      </w:r>
      <w:r w:rsidRPr="004A599D">
        <w:rPr>
          <w:rFonts w:ascii="宋体" w:hAnsi="宋体" w:hint="eastAsia"/>
          <w:color w:val="000000" w:themeColor="text1"/>
          <w:sz w:val="24"/>
        </w:rPr>
        <w:t>、乙方对本协议及其条款负有保密义务，未经甲方许可，乙方不得向任何组织、个</w:t>
      </w:r>
      <w:r w:rsidRPr="004A599D">
        <w:rPr>
          <w:color w:val="000000" w:themeColor="text1"/>
          <w:sz w:val="24"/>
        </w:rPr>
        <w:t>人提供或泄露与甲方有关的业务资料及信息，但法律</w:t>
      </w:r>
      <w:r w:rsidRPr="004A599D">
        <w:rPr>
          <w:rFonts w:hint="eastAsia"/>
          <w:color w:val="000000" w:themeColor="text1"/>
          <w:sz w:val="24"/>
        </w:rPr>
        <w:t>、</w:t>
      </w:r>
      <w:r w:rsidRPr="004A599D">
        <w:rPr>
          <w:rFonts w:ascii="宋体" w:hAnsi="宋体"/>
          <w:color w:val="000000" w:themeColor="text1"/>
          <w:sz w:val="24"/>
        </w:rPr>
        <w:t>法规及金融监管机构另有规定、</w:t>
      </w:r>
      <w:r w:rsidRPr="004A599D">
        <w:rPr>
          <w:rFonts w:hint="eastAsia"/>
          <w:color w:val="000000" w:themeColor="text1"/>
          <w:sz w:val="24"/>
        </w:rPr>
        <w:t>乙方</w:t>
      </w:r>
      <w:r w:rsidRPr="004A599D">
        <w:rPr>
          <w:color w:val="000000" w:themeColor="text1"/>
          <w:sz w:val="24"/>
        </w:rPr>
        <w:t>向专业咨询机构</w:t>
      </w:r>
      <w:r w:rsidRPr="004A599D">
        <w:rPr>
          <w:rFonts w:hint="eastAsia"/>
          <w:color w:val="000000" w:themeColor="text1"/>
          <w:sz w:val="24"/>
        </w:rPr>
        <w:t>进行咨询涉及的披露</w:t>
      </w:r>
      <w:r w:rsidRPr="004A599D">
        <w:rPr>
          <w:color w:val="000000" w:themeColor="text1"/>
          <w:sz w:val="24"/>
        </w:rPr>
        <w:t>以及甲乙双方另有约定的其他情况除外。</w:t>
      </w:r>
    </w:p>
    <w:p w:rsidR="00DF0A09" w:rsidRPr="004A599D" w:rsidRDefault="006A53B6" w:rsidP="00DF0A09">
      <w:pPr>
        <w:pStyle w:val="Normalfd659043"/>
        <w:spacing w:line="360" w:lineRule="auto"/>
        <w:ind w:firstLineChars="200" w:firstLine="480"/>
        <w:rPr>
          <w:rFonts w:ascii="宋体" w:hAnsi="宋体"/>
          <w:color w:val="000000" w:themeColor="text1"/>
          <w:sz w:val="24"/>
        </w:rPr>
      </w:pPr>
      <w:r w:rsidRPr="004A599D">
        <w:rPr>
          <w:rFonts w:ascii="宋体" w:hAnsi="宋体"/>
          <w:color w:val="000000" w:themeColor="text1"/>
          <w:sz w:val="24"/>
        </w:rPr>
        <w:t>11</w:t>
      </w:r>
      <w:r w:rsidRPr="004A599D">
        <w:rPr>
          <w:rFonts w:ascii="宋体" w:hAnsi="宋体" w:hint="eastAsia"/>
          <w:color w:val="000000" w:themeColor="text1"/>
          <w:sz w:val="24"/>
        </w:rPr>
        <w:t>、法律</w:t>
      </w:r>
      <w:r w:rsidRPr="004A599D">
        <w:rPr>
          <w:rFonts w:hint="eastAsia"/>
          <w:color w:val="000000" w:themeColor="text1"/>
          <w:sz w:val="24"/>
        </w:rPr>
        <w:t>、</w:t>
      </w:r>
      <w:r w:rsidRPr="004A599D">
        <w:rPr>
          <w:rFonts w:ascii="宋体" w:hAnsi="宋体" w:hint="eastAsia"/>
          <w:color w:val="000000" w:themeColor="text1"/>
          <w:sz w:val="24"/>
        </w:rPr>
        <w:t>法规、监管规定和其他在本产品所对应理财产品销售文件中约定的乙方的权利与义务。</w:t>
      </w:r>
    </w:p>
    <w:p w:rsidR="00D0166A" w:rsidRPr="004A599D" w:rsidRDefault="006A53B6">
      <w:pPr>
        <w:pStyle w:val="Normalfd659043"/>
        <w:spacing w:line="360" w:lineRule="auto"/>
        <w:ind w:firstLine="480"/>
        <w:rPr>
          <w:rFonts w:ascii="宋体" w:eastAsia="黑体" w:hAnsi="宋体"/>
          <w:b/>
          <w:sz w:val="24"/>
        </w:rPr>
      </w:pPr>
      <w:r w:rsidRPr="004A599D">
        <w:rPr>
          <w:rFonts w:ascii="宋体" w:hAnsi="宋体" w:hint="eastAsia"/>
          <w:b/>
          <w:sz w:val="24"/>
        </w:rPr>
        <w:t>第三条</w:t>
      </w:r>
      <w:r w:rsidRPr="004A599D">
        <w:rPr>
          <w:rFonts w:ascii="宋体" w:hAnsi="宋体"/>
          <w:b/>
          <w:sz w:val="24"/>
        </w:rPr>
        <w:t xml:space="preserve"> </w:t>
      </w:r>
      <w:r w:rsidRPr="004A599D">
        <w:rPr>
          <w:rFonts w:ascii="宋体" w:hAnsi="宋体" w:hint="eastAsia"/>
          <w:b/>
          <w:sz w:val="24"/>
        </w:rPr>
        <w:t>违约责任</w:t>
      </w:r>
    </w:p>
    <w:p w:rsidR="00D0166A" w:rsidRPr="004A599D" w:rsidRDefault="006A53B6">
      <w:pPr>
        <w:pStyle w:val="Normalfd659043"/>
        <w:spacing w:line="360" w:lineRule="auto"/>
        <w:ind w:firstLineChars="200" w:firstLine="480"/>
        <w:rPr>
          <w:rFonts w:ascii="宋体" w:eastAsia="黑体" w:hAnsi="宋体"/>
          <w:sz w:val="24"/>
        </w:rPr>
      </w:pPr>
      <w:r w:rsidRPr="004A599D">
        <w:rPr>
          <w:rFonts w:ascii="宋体" w:hAnsi="宋体" w:hint="eastAsia"/>
          <w:sz w:val="24"/>
        </w:rPr>
        <w:t>由于本协议一方当事人的过错，造成本协议不能履行或不能完全履行的，由有过错的一方承担违约责任；如双方同时负有过错，则应由双方各自按照过错程度承担责任。</w:t>
      </w:r>
    </w:p>
    <w:p w:rsidR="00D0166A" w:rsidRPr="004A599D" w:rsidRDefault="006A53B6">
      <w:pPr>
        <w:pStyle w:val="Normalfd659043"/>
        <w:spacing w:line="360" w:lineRule="auto"/>
        <w:ind w:firstLine="480"/>
        <w:rPr>
          <w:rFonts w:ascii="宋体" w:eastAsia="黑体" w:hAnsi="宋体"/>
          <w:b/>
          <w:sz w:val="24"/>
        </w:rPr>
      </w:pPr>
      <w:r w:rsidRPr="004A599D">
        <w:rPr>
          <w:rFonts w:ascii="宋体" w:hAnsi="宋体" w:hint="eastAsia"/>
          <w:b/>
          <w:sz w:val="24"/>
        </w:rPr>
        <w:t>第四条</w:t>
      </w:r>
      <w:r w:rsidRPr="004A599D">
        <w:rPr>
          <w:rFonts w:ascii="宋体" w:hAnsi="宋体"/>
          <w:b/>
          <w:sz w:val="24"/>
        </w:rPr>
        <w:t xml:space="preserve"> </w:t>
      </w:r>
      <w:r w:rsidRPr="004A599D">
        <w:rPr>
          <w:rFonts w:ascii="宋体" w:hAnsi="宋体" w:hint="eastAsia"/>
          <w:b/>
          <w:sz w:val="24"/>
        </w:rPr>
        <w:t>免责条款</w:t>
      </w:r>
    </w:p>
    <w:p w:rsidR="00D0166A" w:rsidRPr="004A599D" w:rsidRDefault="006A53B6">
      <w:pPr>
        <w:pStyle w:val="Normalfd659043"/>
        <w:spacing w:line="360" w:lineRule="auto"/>
        <w:ind w:firstLineChars="200" w:firstLine="482"/>
        <w:rPr>
          <w:rFonts w:ascii="宋体" w:hAnsi="宋体"/>
          <w:b/>
          <w:sz w:val="24"/>
        </w:rPr>
      </w:pPr>
      <w:r w:rsidRPr="004A599D">
        <w:rPr>
          <w:rFonts w:ascii="宋体" w:hAnsi="宋体"/>
          <w:b/>
          <w:sz w:val="24"/>
        </w:rPr>
        <w:t>1</w:t>
      </w:r>
      <w:r w:rsidRPr="004A599D">
        <w:rPr>
          <w:rFonts w:ascii="宋体" w:hAnsi="宋体"/>
          <w:b/>
          <w:sz w:val="24"/>
        </w:rPr>
        <w:t>、由于国家法律</w:t>
      </w:r>
      <w:r>
        <w:rPr>
          <w:rFonts w:hint="eastAsia"/>
          <w:b/>
          <w:sz w:val="24"/>
        </w:rPr>
        <w:t>、</w:t>
      </w:r>
      <w:r w:rsidRPr="004A599D">
        <w:rPr>
          <w:rFonts w:ascii="宋体" w:hAnsi="宋体"/>
          <w:b/>
          <w:sz w:val="24"/>
        </w:rPr>
        <w:t>法规、监管规定、监管部门政策变化、紧急措施的出台而</w:t>
      </w:r>
      <w:r w:rsidRPr="00A57422">
        <w:rPr>
          <w:rFonts w:hint="eastAsia"/>
          <w:b/>
          <w:sz w:val="24"/>
        </w:rPr>
        <w:t>导致甲方蒙受损失或协议终止的，乙方不承担责任。</w:t>
      </w:r>
    </w:p>
    <w:p w:rsidR="00D0166A" w:rsidRPr="004A599D" w:rsidRDefault="006A53B6">
      <w:pPr>
        <w:pStyle w:val="Normalfd659043"/>
        <w:spacing w:line="360" w:lineRule="auto"/>
        <w:ind w:firstLineChars="200" w:firstLine="482"/>
        <w:rPr>
          <w:rFonts w:ascii="宋体" w:hAnsi="宋体"/>
          <w:b/>
          <w:sz w:val="24"/>
        </w:rPr>
      </w:pPr>
      <w:r w:rsidRPr="004A599D">
        <w:rPr>
          <w:rFonts w:ascii="宋体" w:hAnsi="宋体"/>
          <w:b/>
          <w:sz w:val="24"/>
        </w:rPr>
        <w:t>2</w:t>
      </w:r>
      <w:r w:rsidRPr="004A599D">
        <w:rPr>
          <w:rFonts w:ascii="宋体" w:hAnsi="宋体"/>
          <w:b/>
          <w:sz w:val="24"/>
        </w:rPr>
        <w:t>、由于自然灾害、意外事故、战争、系统故障、通讯故障等不可抗力或乙方无过错且无法</w:t>
      </w:r>
      <w:r>
        <w:rPr>
          <w:rFonts w:hint="eastAsia"/>
          <w:b/>
          <w:sz w:val="24"/>
        </w:rPr>
        <w:t>避免</w:t>
      </w:r>
      <w:r w:rsidRPr="00A57422">
        <w:rPr>
          <w:b/>
          <w:sz w:val="24"/>
        </w:rPr>
        <w:t>的外因而导致的交易中断、延误等风险及损失，乙方不承担责任。</w:t>
      </w:r>
    </w:p>
    <w:p w:rsidR="00D0166A" w:rsidRPr="004A599D" w:rsidRDefault="006A53B6">
      <w:pPr>
        <w:pStyle w:val="Normalfd659043"/>
        <w:spacing w:line="360" w:lineRule="auto"/>
        <w:ind w:firstLineChars="200" w:firstLine="482"/>
        <w:rPr>
          <w:rFonts w:ascii="宋体" w:hAnsi="宋体"/>
          <w:b/>
          <w:sz w:val="24"/>
        </w:rPr>
      </w:pPr>
      <w:r w:rsidRPr="004A599D">
        <w:rPr>
          <w:rFonts w:ascii="宋体" w:hAnsi="宋体"/>
          <w:b/>
          <w:sz w:val="24"/>
        </w:rPr>
        <w:t>3</w:t>
      </w:r>
      <w:r w:rsidRPr="004A599D">
        <w:rPr>
          <w:rFonts w:ascii="宋体" w:hAnsi="宋体"/>
          <w:b/>
          <w:sz w:val="24"/>
        </w:rPr>
        <w:t>、非因乙方原因（包括但不限于甲方遗失本协议、甲方协议被盗用、甲方指定账户被司法机关等有权部门冻结、扣划等原因）造成的损失，乙方不承担责任。</w:t>
      </w:r>
    </w:p>
    <w:p w:rsidR="00D0166A" w:rsidRPr="004A599D" w:rsidRDefault="006A53B6">
      <w:pPr>
        <w:pStyle w:val="Normalfd659043"/>
        <w:spacing w:line="360" w:lineRule="auto"/>
        <w:ind w:firstLineChars="200" w:firstLine="482"/>
        <w:rPr>
          <w:rFonts w:ascii="宋体" w:hAnsi="宋体"/>
          <w:b/>
          <w:sz w:val="24"/>
        </w:rPr>
      </w:pPr>
      <w:r w:rsidRPr="004A599D">
        <w:rPr>
          <w:rFonts w:ascii="宋体" w:hAnsi="宋体"/>
          <w:b/>
          <w:sz w:val="24"/>
        </w:rPr>
        <w:t>4</w:t>
      </w:r>
      <w:r w:rsidRPr="004A599D">
        <w:rPr>
          <w:rFonts w:ascii="宋体" w:hAnsi="宋体"/>
          <w:b/>
          <w:sz w:val="24"/>
        </w:rPr>
        <w:t>、发生前述情形时，乙方将在条件允许</w:t>
      </w:r>
      <w:r>
        <w:rPr>
          <w:rFonts w:hint="eastAsia"/>
          <w:b/>
          <w:sz w:val="24"/>
        </w:rPr>
        <w:t>且</w:t>
      </w:r>
      <w:r w:rsidRPr="004A599D">
        <w:rPr>
          <w:rFonts w:ascii="宋体" w:hAnsi="宋体"/>
          <w:b/>
          <w:sz w:val="24"/>
        </w:rPr>
        <w:t>不违反法律、法规及监管规定</w:t>
      </w:r>
      <w:r w:rsidRPr="00A57422">
        <w:rPr>
          <w:b/>
          <w:sz w:val="24"/>
        </w:rPr>
        <w:t>的情况下采取必要合理的补救措施，尽力保护甲方利益，以减少甲方损失。</w:t>
      </w:r>
    </w:p>
    <w:p w:rsidR="00D0166A" w:rsidRPr="004A599D" w:rsidRDefault="006A53B6">
      <w:pPr>
        <w:pStyle w:val="Normalfd659043"/>
        <w:spacing w:line="360" w:lineRule="auto"/>
        <w:ind w:firstLine="480"/>
        <w:rPr>
          <w:rFonts w:ascii="宋体" w:eastAsia="黑体" w:hAnsi="宋体"/>
          <w:b/>
          <w:sz w:val="24"/>
        </w:rPr>
      </w:pPr>
      <w:r w:rsidRPr="004A599D">
        <w:rPr>
          <w:rFonts w:ascii="宋体" w:hAnsi="宋体" w:hint="eastAsia"/>
          <w:b/>
          <w:sz w:val="24"/>
        </w:rPr>
        <w:t>第五条</w:t>
      </w:r>
      <w:r w:rsidRPr="004A599D">
        <w:rPr>
          <w:rFonts w:ascii="宋体" w:hAnsi="宋体"/>
          <w:b/>
          <w:sz w:val="24"/>
        </w:rPr>
        <w:t xml:space="preserve"> </w:t>
      </w:r>
      <w:r w:rsidRPr="004A599D">
        <w:rPr>
          <w:rFonts w:ascii="宋体" w:hAnsi="宋体" w:hint="eastAsia"/>
          <w:b/>
          <w:sz w:val="24"/>
        </w:rPr>
        <w:t>争议解决</w:t>
      </w:r>
    </w:p>
    <w:p w:rsidR="00D0166A" w:rsidRPr="004A599D" w:rsidRDefault="006A53B6" w:rsidP="004A599D">
      <w:pPr>
        <w:pStyle w:val="ListParagraph4b42f0ce"/>
        <w:spacing w:line="360" w:lineRule="auto"/>
        <w:ind w:firstLine="480"/>
        <w:rPr>
          <w:rFonts w:ascii="宋体" w:hAnsi="宋体"/>
          <w:sz w:val="24"/>
        </w:rPr>
      </w:pPr>
      <w:r w:rsidRPr="004A599D">
        <w:rPr>
          <w:rFonts w:ascii="宋体" w:hAnsi="宋体" w:hint="eastAsia"/>
          <w:sz w:val="24"/>
        </w:rPr>
        <w:t>本协议适用中华人民共和国法律。本协议履行过程中所发生的一切争议，双</w:t>
      </w:r>
      <w:r w:rsidRPr="004A599D">
        <w:rPr>
          <w:rFonts w:ascii="宋体" w:hAnsi="宋体" w:hint="eastAsia"/>
          <w:sz w:val="24"/>
        </w:rPr>
        <w:lastRenderedPageBreak/>
        <w:t>方应本着诚实信用的原则友好协商解决。</w:t>
      </w:r>
      <w:r w:rsidRPr="004A599D">
        <w:rPr>
          <w:rFonts w:ascii="宋体" w:hAnsi="宋体" w:hint="eastAsia"/>
          <w:b/>
          <w:sz w:val="24"/>
        </w:rPr>
        <w:t>若协商不成，任何一方可向乙方所在地人民法院起诉。在争议解决期间，若该争议不影响本协议其他条款及其他理财产品</w:t>
      </w:r>
      <w:r w:rsidRPr="004A599D">
        <w:rPr>
          <w:rFonts w:ascii="宋体" w:hAnsi="宋体"/>
          <w:b/>
          <w:sz w:val="24"/>
        </w:rPr>
        <w:t>销售文件</w:t>
      </w:r>
      <w:r w:rsidRPr="004A599D">
        <w:rPr>
          <w:rFonts w:ascii="宋体" w:hAnsi="宋体" w:hint="eastAsia"/>
          <w:b/>
          <w:sz w:val="24"/>
        </w:rPr>
        <w:t>各条款</w:t>
      </w:r>
      <w:r w:rsidRPr="004A599D">
        <w:rPr>
          <w:rFonts w:ascii="宋体" w:hAnsi="宋体" w:hint="eastAsia"/>
          <w:b/>
          <w:sz w:val="24"/>
        </w:rPr>
        <w:t>的履行，</w:t>
      </w:r>
      <w:r w:rsidRPr="004A599D">
        <w:rPr>
          <w:rFonts w:ascii="宋体" w:hAnsi="宋体" w:hint="eastAsia"/>
          <w:b/>
          <w:sz w:val="24"/>
        </w:rPr>
        <w:t>前述条款</w:t>
      </w:r>
      <w:r w:rsidRPr="004A599D">
        <w:rPr>
          <w:rFonts w:ascii="宋体" w:hAnsi="宋体" w:hint="eastAsia"/>
          <w:b/>
          <w:sz w:val="24"/>
        </w:rPr>
        <w:t>应继续履行。因处理争议产生的费用（包括但不限于律师费</w:t>
      </w:r>
      <w:r w:rsidRPr="004A599D">
        <w:rPr>
          <w:rFonts w:ascii="宋体" w:hAnsi="宋体" w:hint="eastAsia"/>
          <w:b/>
          <w:sz w:val="24"/>
        </w:rPr>
        <w:t>、诉讼费</w:t>
      </w:r>
      <w:r w:rsidRPr="004A599D">
        <w:rPr>
          <w:rFonts w:ascii="宋体" w:hAnsi="宋体" w:hint="eastAsia"/>
          <w:b/>
          <w:sz w:val="24"/>
        </w:rPr>
        <w:t>等），除法院判决</w:t>
      </w:r>
      <w:r w:rsidRPr="004A599D">
        <w:rPr>
          <w:rFonts w:ascii="宋体" w:hAnsi="宋体"/>
          <w:b/>
          <w:sz w:val="24"/>
        </w:rPr>
        <w:t>/</w:t>
      </w:r>
      <w:r w:rsidRPr="004A599D">
        <w:rPr>
          <w:rFonts w:ascii="宋体" w:hAnsi="宋体"/>
          <w:b/>
          <w:sz w:val="24"/>
        </w:rPr>
        <w:t>裁定另有规定，由败诉方承担。</w:t>
      </w:r>
    </w:p>
    <w:p w:rsidR="00D0166A" w:rsidRPr="004A599D" w:rsidRDefault="006A53B6" w:rsidP="004A599D">
      <w:pPr>
        <w:pStyle w:val="ListParagraph4b42f0ce"/>
        <w:spacing w:line="360" w:lineRule="auto"/>
        <w:ind w:firstLine="482"/>
        <w:rPr>
          <w:rFonts w:ascii="宋体" w:hAnsi="宋体"/>
          <w:sz w:val="24"/>
        </w:rPr>
      </w:pPr>
      <w:r w:rsidRPr="004A599D">
        <w:rPr>
          <w:rFonts w:ascii="宋体" w:hAnsi="宋体" w:hint="eastAsia"/>
          <w:b/>
          <w:sz w:val="24"/>
        </w:rPr>
        <w:t>第六条</w:t>
      </w:r>
      <w:r w:rsidRPr="004A599D">
        <w:rPr>
          <w:rFonts w:ascii="宋体" w:hAnsi="宋体"/>
          <w:b/>
          <w:sz w:val="24"/>
        </w:rPr>
        <w:t xml:space="preserve"> </w:t>
      </w:r>
      <w:r w:rsidRPr="004A599D">
        <w:rPr>
          <w:rFonts w:ascii="宋体" w:hAnsi="宋体"/>
          <w:b/>
          <w:sz w:val="24"/>
        </w:rPr>
        <w:t>协议的生效</w:t>
      </w:r>
      <w:r w:rsidRPr="004A599D">
        <w:rPr>
          <w:rFonts w:ascii="宋体" w:hAnsi="宋体" w:hint="eastAsia"/>
          <w:b/>
          <w:sz w:val="24"/>
        </w:rPr>
        <w:t>和终止</w:t>
      </w:r>
    </w:p>
    <w:p w:rsidR="00D0166A" w:rsidRPr="004A599D" w:rsidRDefault="006A53B6">
      <w:pPr>
        <w:pStyle w:val="Normalfd659043"/>
        <w:spacing w:line="360" w:lineRule="auto"/>
        <w:ind w:firstLineChars="200" w:firstLine="482"/>
        <w:rPr>
          <w:rFonts w:ascii="宋体" w:eastAsia="黑体" w:hAnsi="宋体"/>
          <w:b/>
          <w:sz w:val="24"/>
        </w:rPr>
      </w:pPr>
      <w:r w:rsidRPr="004A599D">
        <w:rPr>
          <w:rFonts w:ascii="宋体" w:hAnsi="宋体" w:hint="eastAsia"/>
          <w:b/>
          <w:sz w:val="24"/>
        </w:rPr>
        <w:t>（一）协议生效</w:t>
      </w:r>
    </w:p>
    <w:p w:rsidR="00D0166A" w:rsidRPr="004A599D" w:rsidRDefault="006A53B6" w:rsidP="002B5F5F">
      <w:pPr>
        <w:pStyle w:val="Normalfd659043"/>
        <w:widowControl/>
        <w:spacing w:line="360" w:lineRule="auto"/>
        <w:ind w:firstLineChars="200" w:firstLine="480"/>
        <w:jc w:val="left"/>
        <w:rPr>
          <w:rFonts w:ascii="宋体" w:hAnsi="宋体"/>
          <w:sz w:val="24"/>
        </w:rPr>
      </w:pPr>
      <w:r w:rsidRPr="004A599D">
        <w:rPr>
          <w:rFonts w:ascii="宋体" w:hAnsi="宋体"/>
          <w:sz w:val="24"/>
        </w:rPr>
        <w:t>1</w:t>
      </w:r>
      <w:r w:rsidRPr="004A599D">
        <w:rPr>
          <w:rFonts w:ascii="宋体" w:hAnsi="宋体"/>
          <w:sz w:val="24"/>
        </w:rPr>
        <w:t>、</w:t>
      </w:r>
      <w:r w:rsidRPr="004A599D">
        <w:rPr>
          <w:rFonts w:ascii="宋体" w:hAnsi="宋体" w:hint="eastAsia"/>
          <w:sz w:val="24"/>
        </w:rPr>
        <w:t>甲方通过乙方或代理销售机构营业网点购买本理财产品</w:t>
      </w:r>
      <w:r>
        <w:rPr>
          <w:rFonts w:hint="eastAsia"/>
          <w:sz w:val="24"/>
        </w:rPr>
        <w:t>的</w:t>
      </w:r>
      <w:r w:rsidRPr="004A599D">
        <w:rPr>
          <w:rFonts w:ascii="宋体" w:hAnsi="宋体"/>
          <w:sz w:val="24"/>
        </w:rPr>
        <w:t>，本协议于甲方签署（</w:t>
      </w:r>
      <w:r>
        <w:rPr>
          <w:rFonts w:hint="eastAsia"/>
          <w:sz w:val="24"/>
        </w:rPr>
        <w:t>甲方为自然人的，应签字；甲方为机构的，应由其法定代表人</w:t>
      </w:r>
      <w:r>
        <w:rPr>
          <w:rFonts w:hint="eastAsia"/>
          <w:sz w:val="24"/>
        </w:rPr>
        <w:t>（负责人）</w:t>
      </w:r>
      <w:r>
        <w:rPr>
          <w:rFonts w:hint="eastAsia"/>
          <w:sz w:val="24"/>
        </w:rPr>
        <w:t>或授权代理人签字</w:t>
      </w:r>
      <w:r>
        <w:rPr>
          <w:sz w:val="24"/>
        </w:rPr>
        <w:t>/</w:t>
      </w:r>
      <w:r w:rsidRPr="004A599D">
        <w:rPr>
          <w:rFonts w:ascii="宋体" w:hAnsi="宋体"/>
          <w:sz w:val="24"/>
        </w:rPr>
        <w:t>签章并加盖公章；甲方为资产管理产品的，应加盖</w:t>
      </w:r>
      <w:r>
        <w:rPr>
          <w:rFonts w:hint="eastAsia"/>
          <w:sz w:val="24"/>
        </w:rPr>
        <w:t>产品</w:t>
      </w:r>
      <w:r>
        <w:rPr>
          <w:sz w:val="24"/>
        </w:rPr>
        <w:t>管理人公章）且乙方确认甲方成功认（申）购并收到甲方缴付的全部投资</w:t>
      </w:r>
      <w:r>
        <w:rPr>
          <w:rFonts w:hint="eastAsia"/>
          <w:sz w:val="24"/>
        </w:rPr>
        <w:t>款项</w:t>
      </w:r>
      <w:r>
        <w:rPr>
          <w:sz w:val="24"/>
        </w:rPr>
        <w:t>本金之日起生效。</w:t>
      </w:r>
      <w:r w:rsidRPr="009603AD">
        <w:rPr>
          <w:sz w:val="24"/>
        </w:rPr>
        <w:t>本协议</w:t>
      </w:r>
      <w:r w:rsidRPr="009603AD">
        <w:rPr>
          <w:rFonts w:hint="eastAsia"/>
          <w:sz w:val="24"/>
        </w:rPr>
        <w:t>一式</w:t>
      </w:r>
      <w:r>
        <w:rPr>
          <w:sz w:val="24"/>
        </w:rPr>
        <w:t>2</w:t>
      </w:r>
      <w:r w:rsidRPr="004A599D">
        <w:rPr>
          <w:rFonts w:ascii="宋体" w:hAnsi="宋体" w:hint="eastAsia"/>
          <w:sz w:val="24"/>
        </w:rPr>
        <w:t>份，</w:t>
      </w:r>
      <w:r>
        <w:rPr>
          <w:rFonts w:hint="eastAsia"/>
          <w:sz w:val="24"/>
        </w:rPr>
        <w:t>其中甲方执有</w:t>
      </w:r>
      <w:r>
        <w:rPr>
          <w:sz w:val="24"/>
        </w:rPr>
        <w:t>1</w:t>
      </w:r>
      <w:r w:rsidRPr="004A599D">
        <w:rPr>
          <w:rFonts w:ascii="宋体" w:hAnsi="宋体" w:hint="eastAsia"/>
          <w:sz w:val="24"/>
        </w:rPr>
        <w:t>份。</w:t>
      </w:r>
    </w:p>
    <w:p w:rsidR="00D0166A" w:rsidRPr="004A599D" w:rsidRDefault="006A53B6" w:rsidP="004A599D">
      <w:pPr>
        <w:pStyle w:val="ListParagraph4b42f0ce"/>
        <w:spacing w:line="360" w:lineRule="auto"/>
        <w:ind w:firstLine="480"/>
        <w:rPr>
          <w:rFonts w:ascii="宋体" w:hAnsi="宋体"/>
          <w:sz w:val="24"/>
        </w:rPr>
      </w:pPr>
      <w:r w:rsidRPr="004A599D">
        <w:rPr>
          <w:rFonts w:ascii="宋体" w:hAnsi="宋体"/>
          <w:sz w:val="24"/>
        </w:rPr>
        <w:t>2</w:t>
      </w:r>
      <w:r w:rsidRPr="004A599D">
        <w:rPr>
          <w:rFonts w:ascii="宋体" w:hAnsi="宋体"/>
          <w:sz w:val="24"/>
        </w:rPr>
        <w:t>、</w:t>
      </w:r>
      <w:r w:rsidRPr="004A599D">
        <w:rPr>
          <w:rFonts w:ascii="宋体" w:hAnsi="宋体" w:hint="eastAsia"/>
          <w:sz w:val="24"/>
        </w:rPr>
        <w:t>甲方通过乙方或代理销售机构的网上银行、手机银行等线上渠道方式购买</w:t>
      </w:r>
      <w:r w:rsidRPr="004A599D">
        <w:rPr>
          <w:rFonts w:ascii="宋体" w:hAnsi="宋体" w:hint="eastAsia"/>
          <w:sz w:val="24"/>
        </w:rPr>
        <w:t>本</w:t>
      </w:r>
      <w:r w:rsidRPr="004A599D">
        <w:rPr>
          <w:rFonts w:ascii="宋体" w:hAnsi="宋体" w:hint="eastAsia"/>
          <w:sz w:val="24"/>
        </w:rPr>
        <w:t>理财产品</w:t>
      </w:r>
      <w:r w:rsidRPr="004A599D">
        <w:rPr>
          <w:rFonts w:ascii="宋体" w:hAnsi="宋体" w:hint="eastAsia"/>
          <w:sz w:val="24"/>
        </w:rPr>
        <w:t>的</w:t>
      </w:r>
      <w:r w:rsidRPr="004A599D">
        <w:rPr>
          <w:rFonts w:ascii="宋体" w:hAnsi="宋体"/>
          <w:sz w:val="24"/>
        </w:rPr>
        <w:t>，本协议经甲方点击同意本协议且乙方确认甲方成功认（申）购并收到甲方缴付的全部投资</w:t>
      </w:r>
      <w:r w:rsidRPr="004A599D">
        <w:rPr>
          <w:rFonts w:ascii="宋体" w:hAnsi="宋体" w:hint="eastAsia"/>
          <w:sz w:val="24"/>
        </w:rPr>
        <w:t>本金</w:t>
      </w:r>
      <w:r w:rsidRPr="004A599D">
        <w:rPr>
          <w:rFonts w:ascii="宋体" w:hAnsi="宋体" w:hint="eastAsia"/>
          <w:sz w:val="24"/>
        </w:rPr>
        <w:t>款项</w:t>
      </w:r>
      <w:r w:rsidRPr="004A599D">
        <w:rPr>
          <w:rFonts w:ascii="宋体" w:hAnsi="宋体"/>
          <w:sz w:val="24"/>
        </w:rPr>
        <w:t>之日起生效。</w:t>
      </w:r>
      <w:r w:rsidRPr="004A599D">
        <w:rPr>
          <w:rFonts w:ascii="宋体" w:hAnsi="宋体" w:hint="eastAsia"/>
          <w:sz w:val="24"/>
        </w:rPr>
        <w:t>双</w:t>
      </w:r>
      <w:r w:rsidRPr="004A599D">
        <w:rPr>
          <w:rFonts w:ascii="宋体" w:hAnsi="宋体"/>
          <w:sz w:val="24"/>
        </w:rPr>
        <w:t>方认可线上点击同意具有与书面签署同等的法律效力</w:t>
      </w:r>
      <w:r w:rsidRPr="004A599D">
        <w:rPr>
          <w:rFonts w:ascii="宋体" w:hAnsi="宋体" w:hint="eastAsia"/>
          <w:sz w:val="24"/>
        </w:rPr>
        <w:t>。</w:t>
      </w:r>
    </w:p>
    <w:p w:rsidR="00D0166A" w:rsidRPr="004A599D" w:rsidRDefault="006A53B6" w:rsidP="004A599D">
      <w:pPr>
        <w:pStyle w:val="ListParagraph4b42f0ce"/>
        <w:spacing w:line="360" w:lineRule="auto"/>
        <w:ind w:firstLine="482"/>
      </w:pPr>
      <w:r w:rsidRPr="004A599D">
        <w:rPr>
          <w:rFonts w:ascii="宋体" w:hAnsi="宋体" w:hint="eastAsia"/>
          <w:b/>
          <w:sz w:val="24"/>
        </w:rPr>
        <w:t>通过线上渠道认</w:t>
      </w:r>
      <w:r w:rsidRPr="004A599D">
        <w:rPr>
          <w:rFonts w:ascii="宋体" w:hAnsi="宋体" w:hint="eastAsia"/>
          <w:b/>
          <w:sz w:val="24"/>
        </w:rPr>
        <w:t>（申）</w:t>
      </w:r>
      <w:r w:rsidRPr="004A599D">
        <w:rPr>
          <w:rFonts w:ascii="宋体" w:hAnsi="宋体" w:hint="eastAsia"/>
          <w:b/>
          <w:sz w:val="24"/>
        </w:rPr>
        <w:t>购</w:t>
      </w:r>
      <w:r w:rsidRPr="004A599D">
        <w:rPr>
          <w:rFonts w:ascii="宋体" w:hAnsi="宋体"/>
          <w:b/>
          <w:sz w:val="24"/>
        </w:rPr>
        <w:t>时，甲方使用的身份认证要素（包括但不限</w:t>
      </w:r>
      <w:r w:rsidRPr="004A599D">
        <w:rPr>
          <w:rFonts w:ascii="宋体" w:hAnsi="宋体" w:hint="eastAsia"/>
          <w:b/>
          <w:sz w:val="24"/>
        </w:rPr>
        <w:t>于账号、网银登录名、证件号码、手机号码、密码、数字证书、</w:t>
      </w:r>
      <w:r w:rsidRPr="004A599D">
        <w:rPr>
          <w:rFonts w:ascii="宋体" w:hAnsi="宋体"/>
          <w:b/>
          <w:sz w:val="24"/>
        </w:rPr>
        <w:t>USBKey</w:t>
      </w:r>
      <w:r w:rsidRPr="004A599D">
        <w:rPr>
          <w:rFonts w:ascii="宋体" w:hAnsi="宋体"/>
          <w:b/>
          <w:sz w:val="24"/>
        </w:rPr>
        <w:t>、动态密码等）或其他交</w:t>
      </w:r>
      <w:r w:rsidRPr="004A599D">
        <w:rPr>
          <w:rFonts w:ascii="宋体" w:hAnsi="宋体" w:hint="eastAsia"/>
          <w:b/>
          <w:sz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w:t>
      </w:r>
      <w:r w:rsidRPr="004A599D">
        <w:rPr>
          <w:rFonts w:ascii="宋体" w:hAnsi="宋体" w:hint="eastAsia"/>
          <w:b/>
          <w:sz w:val="24"/>
        </w:rPr>
        <w:t>或</w:t>
      </w:r>
      <w:r w:rsidRPr="004A599D">
        <w:rPr>
          <w:rFonts w:ascii="宋体" w:hAnsi="宋体" w:hint="eastAsia"/>
          <w:b/>
          <w:sz w:val="24"/>
        </w:rPr>
        <w:t>代理销售机构系统</w:t>
      </w:r>
      <w:r w:rsidRPr="004A599D">
        <w:rPr>
          <w:rFonts w:ascii="宋体" w:hAnsi="宋体" w:hint="eastAsia"/>
          <w:b/>
          <w:sz w:val="24"/>
        </w:rPr>
        <w:t>而提出异议。</w:t>
      </w:r>
    </w:p>
    <w:p w:rsidR="00D0166A" w:rsidRPr="004A599D" w:rsidRDefault="006A53B6">
      <w:pPr>
        <w:pStyle w:val="Normalfd659043"/>
        <w:widowControl/>
        <w:spacing w:line="360" w:lineRule="auto"/>
        <w:ind w:firstLineChars="200" w:firstLine="480"/>
        <w:jc w:val="left"/>
        <w:rPr>
          <w:rFonts w:ascii="宋体" w:hAnsi="宋体"/>
          <w:color w:val="000000"/>
          <w:kern w:val="0"/>
          <w:sz w:val="24"/>
        </w:rPr>
      </w:pPr>
      <w:r w:rsidRPr="004A599D">
        <w:rPr>
          <w:rFonts w:ascii="宋体" w:hAnsi="宋体"/>
          <w:color w:val="000000"/>
          <w:kern w:val="0"/>
          <w:sz w:val="24"/>
        </w:rPr>
        <w:t>3</w:t>
      </w:r>
      <w:r w:rsidRPr="004A599D">
        <w:rPr>
          <w:rFonts w:ascii="宋体" w:hAnsi="宋体" w:hint="eastAsia"/>
          <w:color w:val="000000"/>
          <w:kern w:val="0"/>
          <w:sz w:val="24"/>
        </w:rPr>
        <w:t>、甲方知悉并确认，乙方对于理财产品项下甲方认</w:t>
      </w:r>
      <w:r>
        <w:rPr>
          <w:rFonts w:hint="eastAsia"/>
          <w:color w:val="000000"/>
          <w:kern w:val="0"/>
          <w:sz w:val="24"/>
        </w:rPr>
        <w:t>（申）</w:t>
      </w:r>
      <w:r>
        <w:rPr>
          <w:rFonts w:hint="eastAsia"/>
          <w:color w:val="000000"/>
          <w:kern w:val="0"/>
          <w:sz w:val="24"/>
        </w:rPr>
        <w:t>购</w:t>
      </w:r>
      <w:r w:rsidRPr="004A599D">
        <w:rPr>
          <w:rFonts w:ascii="宋体" w:hAnsi="宋体"/>
          <w:color w:val="000000"/>
          <w:kern w:val="0"/>
          <w:sz w:val="24"/>
        </w:rPr>
        <w:t>份额的确认即视为乙方对于本协议的签署和认可，受本协议约束，甲方不得以乙方不在本协议中</w:t>
      </w:r>
      <w:r>
        <w:rPr>
          <w:rFonts w:hint="eastAsia"/>
          <w:color w:val="000000"/>
          <w:kern w:val="0"/>
          <w:sz w:val="24"/>
        </w:rPr>
        <w:t>签名或</w:t>
      </w:r>
      <w:r>
        <w:rPr>
          <w:color w:val="000000"/>
          <w:kern w:val="0"/>
          <w:sz w:val="24"/>
        </w:rPr>
        <w:t>签章为由主张本协议不成立或不生效</w:t>
      </w:r>
      <w:r>
        <w:rPr>
          <w:rFonts w:hint="eastAsia"/>
          <w:color w:val="000000"/>
          <w:kern w:val="0"/>
          <w:sz w:val="24"/>
        </w:rPr>
        <w:t>。</w:t>
      </w:r>
    </w:p>
    <w:p w:rsidR="00D0166A" w:rsidRPr="004A599D" w:rsidRDefault="006A53B6">
      <w:pPr>
        <w:pStyle w:val="Normalfd659043"/>
        <w:widowControl/>
        <w:spacing w:line="360" w:lineRule="auto"/>
        <w:ind w:firstLineChars="200" w:firstLine="480"/>
        <w:jc w:val="left"/>
        <w:rPr>
          <w:rFonts w:ascii="宋体" w:hAnsi="宋体"/>
          <w:b/>
          <w:sz w:val="24"/>
        </w:rPr>
      </w:pPr>
      <w:r w:rsidRPr="004A599D">
        <w:rPr>
          <w:rFonts w:ascii="宋体" w:hAnsi="宋体"/>
          <w:color w:val="000000"/>
          <w:kern w:val="0"/>
          <w:sz w:val="24"/>
        </w:rPr>
        <w:t>4</w:t>
      </w:r>
      <w:r w:rsidRPr="004A599D">
        <w:rPr>
          <w:rFonts w:ascii="宋体" w:hAnsi="宋体"/>
          <w:color w:val="000000"/>
          <w:kern w:val="0"/>
          <w:sz w:val="24"/>
        </w:rPr>
        <w:t>、</w:t>
      </w:r>
      <w:r w:rsidRPr="004A599D">
        <w:rPr>
          <w:rFonts w:ascii="宋体" w:hAnsi="宋体" w:hint="eastAsia"/>
          <w:b/>
          <w:color w:val="000000"/>
          <w:kern w:val="0"/>
          <w:sz w:val="24"/>
        </w:rPr>
        <w:t>甲方通过乙方</w:t>
      </w:r>
      <w:r w:rsidRPr="004A599D">
        <w:rPr>
          <w:rFonts w:hint="eastAsia"/>
          <w:b/>
          <w:sz w:val="24"/>
        </w:rPr>
        <w:t>或</w:t>
      </w:r>
      <w:r w:rsidRPr="004A599D">
        <w:rPr>
          <w:rFonts w:ascii="宋体" w:hAnsi="宋体" w:hint="eastAsia"/>
          <w:b/>
          <w:color w:val="000000"/>
          <w:kern w:val="0"/>
          <w:sz w:val="24"/>
        </w:rPr>
        <w:t>代理销售机构提交的有效理财产品认（申）购</w:t>
      </w:r>
      <w:r w:rsidRPr="004A599D">
        <w:rPr>
          <w:b/>
          <w:color w:val="000000"/>
          <w:kern w:val="0"/>
          <w:sz w:val="24"/>
        </w:rPr>
        <w:t>/</w:t>
      </w:r>
      <w:r w:rsidRPr="004A599D">
        <w:rPr>
          <w:rFonts w:ascii="宋体" w:hAnsi="宋体"/>
          <w:b/>
          <w:color w:val="000000"/>
          <w:kern w:val="0"/>
          <w:sz w:val="24"/>
        </w:rPr>
        <w:t>撤单申请，</w:t>
      </w:r>
      <w:r w:rsidRPr="004A599D">
        <w:rPr>
          <w:rFonts w:hint="eastAsia"/>
          <w:b/>
          <w:color w:val="000000"/>
          <w:kern w:val="0"/>
          <w:sz w:val="24"/>
        </w:rPr>
        <w:t>并不意味着理财产品认（申）购</w:t>
      </w:r>
      <w:r w:rsidRPr="004A599D">
        <w:rPr>
          <w:b/>
          <w:color w:val="000000"/>
          <w:kern w:val="0"/>
          <w:sz w:val="24"/>
        </w:rPr>
        <w:t>/</w:t>
      </w:r>
      <w:r w:rsidRPr="004A599D">
        <w:rPr>
          <w:rFonts w:ascii="宋体" w:hAnsi="宋体"/>
          <w:b/>
          <w:color w:val="000000"/>
          <w:kern w:val="0"/>
          <w:sz w:val="24"/>
        </w:rPr>
        <w:t>撤单一定成功，具体</w:t>
      </w:r>
      <w:r w:rsidRPr="004A599D">
        <w:rPr>
          <w:rFonts w:hint="eastAsia"/>
          <w:b/>
          <w:kern w:val="0"/>
          <w:sz w:val="24"/>
        </w:rPr>
        <w:t>认（申）购</w:t>
      </w:r>
      <w:r w:rsidRPr="004A599D">
        <w:rPr>
          <w:b/>
          <w:color w:val="000000"/>
          <w:kern w:val="0"/>
          <w:sz w:val="24"/>
        </w:rPr>
        <w:t>/</w:t>
      </w:r>
      <w:r w:rsidRPr="004A599D">
        <w:rPr>
          <w:rFonts w:ascii="宋体" w:hAnsi="宋体"/>
          <w:b/>
          <w:color w:val="000000"/>
          <w:kern w:val="0"/>
          <w:sz w:val="24"/>
        </w:rPr>
        <w:t>撤单的受理结果根据《</w:t>
      </w:r>
      <w:r w:rsidRPr="004A599D">
        <w:rPr>
          <w:rFonts w:hint="eastAsia"/>
          <w:b/>
          <w:color w:val="000000"/>
          <w:kern w:val="0"/>
          <w:sz w:val="24"/>
        </w:rPr>
        <w:t>理财产品说明书》约定执行。</w:t>
      </w:r>
    </w:p>
    <w:p w:rsidR="00D0166A" w:rsidRPr="004A599D" w:rsidRDefault="006A53B6">
      <w:pPr>
        <w:pStyle w:val="Normalfd659043"/>
        <w:widowControl/>
        <w:spacing w:line="360" w:lineRule="auto"/>
        <w:ind w:firstLineChars="200" w:firstLine="480"/>
        <w:jc w:val="left"/>
        <w:rPr>
          <w:rFonts w:ascii="宋体" w:hAnsi="宋体"/>
          <w:color w:val="000000"/>
          <w:kern w:val="0"/>
          <w:sz w:val="24"/>
        </w:rPr>
      </w:pPr>
      <w:r w:rsidRPr="004A599D">
        <w:rPr>
          <w:rFonts w:ascii="宋体" w:hAnsi="宋体"/>
          <w:sz w:val="24"/>
        </w:rPr>
        <w:lastRenderedPageBreak/>
        <w:t>5</w:t>
      </w:r>
      <w:r w:rsidRPr="004A599D">
        <w:rPr>
          <w:rFonts w:ascii="宋体" w:hAnsi="宋体" w:hint="eastAsia"/>
          <w:sz w:val="24"/>
        </w:rPr>
        <w:t>、</w:t>
      </w:r>
      <w:r w:rsidRPr="004A599D">
        <w:rPr>
          <w:rFonts w:ascii="宋体" w:hAnsi="宋体" w:hint="eastAsia"/>
          <w:b/>
          <w:color w:val="000000"/>
          <w:kern w:val="0"/>
          <w:sz w:val="24"/>
        </w:rPr>
        <w:t>甲方通过代</w:t>
      </w:r>
      <w:r w:rsidRPr="004A599D">
        <w:rPr>
          <w:rFonts w:hint="eastAsia"/>
          <w:b/>
          <w:color w:val="000000"/>
          <w:kern w:val="0"/>
          <w:sz w:val="24"/>
        </w:rPr>
        <w:t>理</w:t>
      </w:r>
      <w:r w:rsidRPr="004A599D">
        <w:rPr>
          <w:rFonts w:ascii="宋体" w:hAnsi="宋体" w:hint="eastAsia"/>
          <w:b/>
          <w:color w:val="000000"/>
          <w:kern w:val="0"/>
          <w:sz w:val="24"/>
        </w:rPr>
        <w:t>销</w:t>
      </w:r>
      <w:r w:rsidRPr="004A599D">
        <w:rPr>
          <w:rFonts w:ascii="宋体" w:hAnsi="宋体" w:hint="eastAsia"/>
          <w:b/>
          <w:color w:val="000000"/>
          <w:kern w:val="0"/>
          <w:sz w:val="24"/>
        </w:rPr>
        <w:t>售</w:t>
      </w:r>
      <w:r w:rsidRPr="004A599D">
        <w:rPr>
          <w:rFonts w:ascii="宋体" w:hAnsi="宋体" w:hint="eastAsia"/>
          <w:b/>
          <w:color w:val="000000"/>
          <w:kern w:val="0"/>
          <w:sz w:val="24"/>
        </w:rPr>
        <w:t>机构购买乙方理财产品时，</w:t>
      </w:r>
      <w:r w:rsidRPr="004A599D">
        <w:rPr>
          <w:rFonts w:hint="eastAsia"/>
          <w:b/>
          <w:color w:val="000000"/>
          <w:kern w:val="0"/>
          <w:sz w:val="24"/>
        </w:rPr>
        <w:t>甲方若需针对产品相关事项进行咨询或投诉，可与乙方或代理销售机构联系，乙方或代理销售机构将及时接听、记录甲方的意见或建议，并与甲方协商共同解决</w:t>
      </w:r>
      <w:r w:rsidRPr="004A599D">
        <w:rPr>
          <w:rFonts w:hint="eastAsia"/>
          <w:b/>
          <w:color w:val="000000"/>
          <w:kern w:val="0"/>
          <w:sz w:val="24"/>
        </w:rPr>
        <w:t>。</w:t>
      </w:r>
    </w:p>
    <w:p w:rsidR="00D0166A" w:rsidRPr="004A599D" w:rsidRDefault="006A53B6">
      <w:pPr>
        <w:pStyle w:val="Normalfd659043"/>
        <w:widowControl/>
        <w:spacing w:line="360" w:lineRule="auto"/>
        <w:ind w:firstLineChars="200" w:firstLine="480"/>
        <w:jc w:val="left"/>
        <w:rPr>
          <w:rFonts w:ascii="宋体" w:hAnsi="宋体"/>
          <w:sz w:val="24"/>
        </w:rPr>
      </w:pPr>
      <w:r w:rsidRPr="004A599D">
        <w:rPr>
          <w:rFonts w:ascii="宋体" w:hAnsi="宋体"/>
          <w:sz w:val="24"/>
        </w:rPr>
        <w:t>6</w:t>
      </w:r>
      <w:r w:rsidRPr="004A599D">
        <w:rPr>
          <w:rFonts w:ascii="宋体" w:hAnsi="宋体"/>
          <w:sz w:val="24"/>
        </w:rPr>
        <w:t>、</w:t>
      </w:r>
      <w:r w:rsidRPr="004A599D">
        <w:rPr>
          <w:rFonts w:ascii="宋体" w:hAnsi="宋体" w:hint="eastAsia"/>
          <w:sz w:val="24"/>
        </w:rPr>
        <w:t>本协议生效后</w:t>
      </w:r>
      <w:r>
        <w:rPr>
          <w:sz w:val="24"/>
        </w:rPr>
        <w:t>,</w:t>
      </w:r>
      <w:r w:rsidRPr="004A599D">
        <w:rPr>
          <w:rFonts w:ascii="宋体" w:hAnsi="宋体"/>
          <w:sz w:val="24"/>
        </w:rPr>
        <w:t>甲方在乙方认</w:t>
      </w:r>
      <w:r>
        <w:rPr>
          <w:rFonts w:hint="eastAsia"/>
          <w:sz w:val="24"/>
        </w:rPr>
        <w:t>（申）</w:t>
      </w:r>
      <w:r>
        <w:rPr>
          <w:sz w:val="24"/>
        </w:rPr>
        <w:t>购</w:t>
      </w:r>
      <w:r w:rsidRPr="004A599D">
        <w:rPr>
          <w:rFonts w:ascii="宋体" w:hAnsi="宋体" w:hint="eastAsia"/>
          <w:sz w:val="24"/>
        </w:rPr>
        <w:t>或赎回本</w:t>
      </w:r>
      <w:r>
        <w:rPr>
          <w:sz w:val="24"/>
        </w:rPr>
        <w:t>产品</w:t>
      </w:r>
      <w:r w:rsidRPr="009603AD">
        <w:rPr>
          <w:rFonts w:hint="eastAsia"/>
          <w:sz w:val="24"/>
        </w:rPr>
        <w:t>的任何行为</w:t>
      </w:r>
      <w:r>
        <w:rPr>
          <w:sz w:val="24"/>
        </w:rPr>
        <w:t>均适用本</w:t>
      </w:r>
      <w:r w:rsidRPr="009603AD">
        <w:rPr>
          <w:sz w:val="24"/>
        </w:rPr>
        <w:t>协议</w:t>
      </w:r>
      <w:r>
        <w:rPr>
          <w:sz w:val="24"/>
        </w:rPr>
        <w:t>，但本协议不作为甲方认</w:t>
      </w:r>
      <w:r>
        <w:rPr>
          <w:rFonts w:hint="eastAsia"/>
          <w:sz w:val="24"/>
        </w:rPr>
        <w:t>（申）</w:t>
      </w:r>
      <w:r>
        <w:rPr>
          <w:sz w:val="24"/>
        </w:rPr>
        <w:t>购或持有乙方管理的特定理财产品的凭证。</w:t>
      </w:r>
      <w:r>
        <w:rPr>
          <w:sz w:val="24"/>
        </w:rPr>
        <w:t xml:space="preserve"> </w:t>
      </w:r>
    </w:p>
    <w:p w:rsidR="00D0166A" w:rsidRPr="004A599D" w:rsidRDefault="006A53B6">
      <w:pPr>
        <w:pStyle w:val="Normalfd659043"/>
        <w:widowControl/>
        <w:spacing w:line="360" w:lineRule="auto"/>
        <w:ind w:firstLineChars="200" w:firstLine="480"/>
        <w:jc w:val="left"/>
        <w:rPr>
          <w:rFonts w:ascii="宋体" w:hAnsi="宋体"/>
          <w:sz w:val="24"/>
        </w:rPr>
      </w:pPr>
      <w:r w:rsidRPr="004A599D">
        <w:rPr>
          <w:rFonts w:ascii="宋体" w:hAnsi="宋体"/>
          <w:sz w:val="24"/>
        </w:rPr>
        <w:t>7</w:t>
      </w:r>
      <w:r w:rsidRPr="004A599D">
        <w:rPr>
          <w:rFonts w:ascii="宋体" w:hAnsi="宋体" w:hint="eastAsia"/>
          <w:sz w:val="24"/>
        </w:rPr>
        <w:t>、</w:t>
      </w:r>
      <w:r w:rsidRPr="004A599D">
        <w:rPr>
          <w:rFonts w:ascii="宋体" w:hAnsi="宋体"/>
          <w:sz w:val="24"/>
        </w:rPr>
        <w:t>乙方有权不定期对本协议进行更新，</w:t>
      </w:r>
      <w:r>
        <w:rPr>
          <w:rFonts w:hint="eastAsia"/>
          <w:sz w:val="24"/>
        </w:rPr>
        <w:t>通过乙方</w:t>
      </w:r>
      <w:r>
        <w:rPr>
          <w:rFonts w:hint="eastAsia"/>
          <w:sz w:val="24"/>
        </w:rPr>
        <w:t>官</w:t>
      </w:r>
      <w:r w:rsidRPr="004A599D">
        <w:rPr>
          <w:rFonts w:ascii="宋体" w:hAnsi="宋体"/>
          <w:sz w:val="24"/>
        </w:rPr>
        <w:t>网（</w:t>
      </w:r>
      <w:r w:rsidRPr="00013A7F">
        <w:rPr>
          <w:sz w:val="24"/>
        </w:rPr>
        <w:t>www.wmbnb.com</w:t>
      </w:r>
      <w:r>
        <w:rPr>
          <w:sz w:val="24"/>
        </w:rPr>
        <w:t>）、相关理财代理销售机构官方渠道或其他</w:t>
      </w:r>
      <w:r>
        <w:rPr>
          <w:rFonts w:hint="eastAsia"/>
          <w:sz w:val="24"/>
        </w:rPr>
        <w:t>适当的</w:t>
      </w:r>
      <w:r>
        <w:rPr>
          <w:sz w:val="24"/>
        </w:rPr>
        <w:t>方式进行信息披露（具体产品的信息披露方式、频率等规则见《理财产品说明书》）。</w:t>
      </w:r>
      <w:r w:rsidRPr="00AD2220">
        <w:rPr>
          <w:b/>
          <w:sz w:val="24"/>
        </w:rPr>
        <w:t>乙方更新本协议并进行披露后，如甲方购买</w:t>
      </w:r>
      <w:r w:rsidRPr="00AD2220">
        <w:rPr>
          <w:rFonts w:hint="eastAsia"/>
          <w:b/>
          <w:sz w:val="24"/>
        </w:rPr>
        <w:t>、</w:t>
      </w:r>
      <w:r w:rsidRPr="004A599D">
        <w:rPr>
          <w:rFonts w:ascii="宋体" w:hAnsi="宋体"/>
          <w:b/>
          <w:sz w:val="24"/>
        </w:rPr>
        <w:t>或继续持有</w:t>
      </w:r>
      <w:r>
        <w:rPr>
          <w:rFonts w:hint="eastAsia"/>
          <w:b/>
          <w:sz w:val="24"/>
        </w:rPr>
        <w:t>本</w:t>
      </w:r>
      <w:r w:rsidRPr="004A599D">
        <w:rPr>
          <w:rFonts w:ascii="宋体" w:hAnsi="宋体"/>
          <w:b/>
          <w:sz w:val="24"/>
        </w:rPr>
        <w:t>理财产品</w:t>
      </w:r>
      <w:r>
        <w:rPr>
          <w:rFonts w:hint="eastAsia"/>
          <w:b/>
          <w:sz w:val="24"/>
        </w:rPr>
        <w:t>的</w:t>
      </w:r>
      <w:r w:rsidRPr="004A599D">
        <w:rPr>
          <w:rFonts w:ascii="宋体" w:hAnsi="宋体"/>
          <w:b/>
          <w:sz w:val="24"/>
        </w:rPr>
        <w:t>，则视为甲方完全接受</w:t>
      </w:r>
      <w:r w:rsidRPr="00AD2220">
        <w:rPr>
          <w:rFonts w:hint="eastAsia"/>
          <w:b/>
          <w:sz w:val="24"/>
        </w:rPr>
        <w:t>最新版本协议</w:t>
      </w:r>
      <w:r w:rsidRPr="00AD2220">
        <w:rPr>
          <w:b/>
          <w:sz w:val="24"/>
        </w:rPr>
        <w:t>的所有内容。</w:t>
      </w:r>
    </w:p>
    <w:p w:rsidR="00D0166A" w:rsidRPr="004A599D" w:rsidRDefault="006A53B6" w:rsidP="004A599D">
      <w:pPr>
        <w:pStyle w:val="ListParagraph4b42f0ce"/>
        <w:spacing w:line="360" w:lineRule="auto"/>
        <w:ind w:firstLine="482"/>
        <w:rPr>
          <w:rFonts w:ascii="宋体" w:hAnsi="宋体"/>
          <w:b/>
          <w:sz w:val="24"/>
        </w:rPr>
      </w:pPr>
      <w:r w:rsidRPr="004A599D">
        <w:rPr>
          <w:rFonts w:ascii="宋体" w:hAnsi="宋体" w:hint="eastAsia"/>
          <w:b/>
          <w:sz w:val="24"/>
        </w:rPr>
        <w:t>（二）协议终止</w:t>
      </w:r>
    </w:p>
    <w:p w:rsidR="00D0166A" w:rsidRPr="004A599D" w:rsidRDefault="006A53B6" w:rsidP="00AD2220">
      <w:pPr>
        <w:pStyle w:val="Normalfd659043"/>
        <w:spacing w:line="360" w:lineRule="auto"/>
        <w:ind w:firstLineChars="200" w:firstLine="480"/>
        <w:rPr>
          <w:rFonts w:ascii="宋体" w:hAnsi="宋体"/>
          <w:sz w:val="24"/>
        </w:rPr>
      </w:pPr>
      <w:r w:rsidRPr="004A599D">
        <w:rPr>
          <w:rFonts w:ascii="宋体" w:hAnsi="宋体"/>
          <w:sz w:val="24"/>
        </w:rPr>
        <w:t>1</w:t>
      </w:r>
      <w:r w:rsidRPr="004A599D">
        <w:rPr>
          <w:rFonts w:ascii="宋体" w:hAnsi="宋体" w:hint="eastAsia"/>
          <w:sz w:val="24"/>
        </w:rPr>
        <w:t>、</w:t>
      </w:r>
      <w:r w:rsidRPr="004A599D">
        <w:rPr>
          <w:rFonts w:ascii="宋体" w:hAnsi="宋体"/>
          <w:sz w:val="24"/>
        </w:rPr>
        <w:t>除《理财产品说明书》约定的</w:t>
      </w:r>
      <w:r w:rsidRPr="008962DC">
        <w:rPr>
          <w:sz w:val="24"/>
        </w:rPr>
        <w:t>提前终止情形</w:t>
      </w:r>
      <w:r>
        <w:rPr>
          <w:sz w:val="24"/>
        </w:rPr>
        <w:t>外，甲方</w:t>
      </w:r>
      <w:r>
        <w:rPr>
          <w:rFonts w:hint="eastAsia"/>
          <w:sz w:val="24"/>
        </w:rPr>
        <w:t>发生违反理财</w:t>
      </w:r>
      <w:r>
        <w:rPr>
          <w:sz w:val="24"/>
        </w:rPr>
        <w:t>产品销售文件</w:t>
      </w:r>
      <w:r>
        <w:rPr>
          <w:rFonts w:hint="eastAsia"/>
          <w:sz w:val="24"/>
        </w:rPr>
        <w:t>的</w:t>
      </w:r>
      <w:r w:rsidRPr="004A599D">
        <w:rPr>
          <w:rFonts w:ascii="宋体" w:hAnsi="宋体"/>
          <w:sz w:val="24"/>
        </w:rPr>
        <w:t>违约行为或</w:t>
      </w:r>
      <w:r>
        <w:rPr>
          <w:rFonts w:hint="eastAsia"/>
          <w:sz w:val="24"/>
        </w:rPr>
        <w:t>交易资金被国家有权机关采取冻结、扣划等保全措施时，乙方有权提前终止本协议，造成甲方损失的，乙方不承担责任。</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2</w:t>
      </w:r>
      <w:r w:rsidRPr="004A599D">
        <w:rPr>
          <w:rFonts w:ascii="宋体" w:hAnsi="宋体" w:hint="eastAsia"/>
          <w:sz w:val="24"/>
        </w:rPr>
        <w:t>、</w:t>
      </w:r>
      <w:r w:rsidRPr="004A599D">
        <w:rPr>
          <w:rFonts w:ascii="宋体" w:hAnsi="宋体"/>
          <w:sz w:val="24"/>
        </w:rPr>
        <w:t>如甲方拒绝配合乙方开展尽职调查，或</w:t>
      </w:r>
      <w:r>
        <w:rPr>
          <w:rFonts w:hint="eastAsia"/>
          <w:sz w:val="24"/>
        </w:rPr>
        <w:t>者</w:t>
      </w:r>
      <w:r w:rsidRPr="004A599D">
        <w:rPr>
          <w:rFonts w:ascii="宋体" w:hAnsi="宋体"/>
          <w:sz w:val="24"/>
        </w:rPr>
        <w:t>乙方发现有关甲方交易</w:t>
      </w:r>
      <w:r>
        <w:rPr>
          <w:rFonts w:hint="eastAsia"/>
          <w:sz w:val="24"/>
        </w:rPr>
        <w:t>存在违法违规，或</w:t>
      </w:r>
      <w:r>
        <w:rPr>
          <w:rFonts w:hint="eastAsia"/>
          <w:sz w:val="24"/>
        </w:rPr>
        <w:t>者</w:t>
      </w:r>
      <w:r w:rsidRPr="004A599D">
        <w:rPr>
          <w:rFonts w:ascii="宋体" w:hAnsi="宋体" w:hint="eastAsia"/>
          <w:sz w:val="24"/>
        </w:rPr>
        <w:t>乙方发现或有合理理由怀疑甲方</w:t>
      </w:r>
      <w:r>
        <w:rPr>
          <w:rFonts w:hint="eastAsia"/>
          <w:sz w:val="24"/>
        </w:rPr>
        <w:t>或其资金</w:t>
      </w:r>
      <w:r>
        <w:rPr>
          <w:rFonts w:hint="eastAsia"/>
          <w:sz w:val="24"/>
        </w:rPr>
        <w:t>存在洗钱、欺诈、侵权、贩毒、恐怖融资、逃税、侵犯知识产权或其他违法犯罪活动，或者甲方或其交易等被列入</w:t>
      </w:r>
      <w:r>
        <w:rPr>
          <w:rFonts w:hint="eastAsia"/>
          <w:sz w:val="24"/>
        </w:rPr>
        <w:t>国际组织、</w:t>
      </w:r>
      <w:r>
        <w:rPr>
          <w:rFonts w:hint="eastAsia"/>
          <w:sz w:val="24"/>
        </w:rPr>
        <w:t>中国或其他国家发布的制裁名单或制裁范围，乙方有权提前</w:t>
      </w:r>
      <w:r w:rsidRPr="004A599D">
        <w:rPr>
          <w:rFonts w:ascii="宋体" w:hAnsi="宋体" w:hint="eastAsia"/>
          <w:sz w:val="24"/>
        </w:rPr>
        <w:t>终止本协议，造成甲方损失的，乙方不承担责任。</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3</w:t>
      </w:r>
      <w:r w:rsidRPr="004A599D">
        <w:rPr>
          <w:rFonts w:ascii="宋体" w:hAnsi="宋体" w:hint="eastAsia"/>
          <w:sz w:val="24"/>
        </w:rPr>
        <w:t>、乙方宣布本理财</w:t>
      </w:r>
      <w:r w:rsidRPr="009603AD">
        <w:rPr>
          <w:rFonts w:hint="eastAsia"/>
          <w:sz w:val="24"/>
        </w:rPr>
        <w:t>产品</w:t>
      </w:r>
      <w:r>
        <w:rPr>
          <w:rFonts w:hint="eastAsia"/>
          <w:sz w:val="24"/>
        </w:rPr>
        <w:t>设立失败、乙方或投资者提前终止理财</w:t>
      </w:r>
      <w:r w:rsidRPr="009603AD">
        <w:rPr>
          <w:rFonts w:hint="eastAsia"/>
          <w:sz w:val="24"/>
        </w:rPr>
        <w:t>产品</w:t>
      </w:r>
      <w:r>
        <w:rPr>
          <w:rFonts w:hint="eastAsia"/>
          <w:sz w:val="24"/>
        </w:rPr>
        <w:t>（包括但</w:t>
      </w:r>
      <w:r>
        <w:rPr>
          <w:sz w:val="24"/>
        </w:rPr>
        <w:t>不限于</w:t>
      </w:r>
      <w:r>
        <w:rPr>
          <w:rFonts w:hint="eastAsia"/>
          <w:sz w:val="24"/>
        </w:rPr>
        <w:t>投资者全部赎回理财产品份额）或者理财产品到期并完成清算分配后，本协议自动终止。</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4</w:t>
      </w:r>
      <w:r w:rsidRPr="004A599D">
        <w:rPr>
          <w:rFonts w:ascii="宋体" w:hAnsi="宋体"/>
          <w:sz w:val="24"/>
        </w:rPr>
        <w:t>、</w:t>
      </w:r>
      <w:r w:rsidRPr="004A599D">
        <w:rPr>
          <w:rFonts w:ascii="宋体" w:hAnsi="宋体" w:hint="eastAsia"/>
          <w:b/>
          <w:sz w:val="24"/>
        </w:rPr>
        <w:t>甲方通过乙方或代理销售机构提交的有效理财产品赎回</w:t>
      </w:r>
      <w:r w:rsidRPr="004A599D">
        <w:rPr>
          <w:b/>
          <w:sz w:val="24"/>
        </w:rPr>
        <w:t>/</w:t>
      </w:r>
      <w:r w:rsidRPr="004A599D">
        <w:rPr>
          <w:rFonts w:ascii="宋体" w:hAnsi="宋体"/>
          <w:b/>
          <w:sz w:val="24"/>
        </w:rPr>
        <w:t>撤单申请，并不意味着理</w:t>
      </w:r>
      <w:r w:rsidRPr="004A599D">
        <w:rPr>
          <w:rFonts w:hint="eastAsia"/>
          <w:b/>
          <w:sz w:val="24"/>
        </w:rPr>
        <w:t>财产品赎回</w:t>
      </w:r>
      <w:r w:rsidRPr="004A599D">
        <w:rPr>
          <w:b/>
          <w:sz w:val="24"/>
        </w:rPr>
        <w:t>/</w:t>
      </w:r>
      <w:r w:rsidRPr="004A599D">
        <w:rPr>
          <w:rFonts w:ascii="宋体" w:hAnsi="宋体"/>
          <w:b/>
          <w:sz w:val="24"/>
        </w:rPr>
        <w:t>撤单一定成功，具体赎回</w:t>
      </w:r>
      <w:r w:rsidRPr="004A599D">
        <w:rPr>
          <w:b/>
          <w:sz w:val="24"/>
        </w:rPr>
        <w:t>/</w:t>
      </w:r>
      <w:r w:rsidRPr="004A599D">
        <w:rPr>
          <w:rFonts w:ascii="宋体" w:hAnsi="宋体"/>
          <w:b/>
          <w:sz w:val="24"/>
        </w:rPr>
        <w:t>撤单的受理结果根据《</w:t>
      </w:r>
      <w:r w:rsidRPr="004A599D">
        <w:rPr>
          <w:rFonts w:hint="eastAsia"/>
          <w:b/>
          <w:sz w:val="24"/>
        </w:rPr>
        <w:t>理财</w:t>
      </w:r>
      <w:r w:rsidRPr="004A599D">
        <w:rPr>
          <w:b/>
          <w:sz w:val="24"/>
        </w:rPr>
        <w:t>产品说明书》约定</w:t>
      </w:r>
      <w:r w:rsidRPr="004A599D">
        <w:rPr>
          <w:rFonts w:hint="eastAsia"/>
          <w:b/>
          <w:sz w:val="24"/>
        </w:rPr>
        <w:t>执行。</w:t>
      </w:r>
    </w:p>
    <w:p w:rsidR="00D0166A" w:rsidRPr="004A599D" w:rsidRDefault="006A53B6">
      <w:pPr>
        <w:pStyle w:val="Normalfd659043"/>
        <w:spacing w:line="360" w:lineRule="auto"/>
        <w:ind w:firstLineChars="200" w:firstLine="480"/>
        <w:rPr>
          <w:rFonts w:ascii="宋体" w:hAnsi="宋体"/>
          <w:sz w:val="24"/>
        </w:rPr>
      </w:pPr>
      <w:r w:rsidRPr="004A599D">
        <w:rPr>
          <w:rFonts w:ascii="宋体" w:hAnsi="宋体"/>
          <w:sz w:val="24"/>
        </w:rPr>
        <w:t>5</w:t>
      </w:r>
      <w:r w:rsidRPr="004A599D">
        <w:rPr>
          <w:rFonts w:ascii="宋体" w:hAnsi="宋体" w:hint="eastAsia"/>
          <w:sz w:val="24"/>
        </w:rPr>
        <w:t>、</w:t>
      </w:r>
      <w:r w:rsidRPr="004A599D">
        <w:rPr>
          <w:rFonts w:ascii="宋体" w:hAnsi="宋体"/>
          <w:sz w:val="24"/>
        </w:rPr>
        <w:t>本协议及《</w:t>
      </w:r>
      <w:r>
        <w:rPr>
          <w:rFonts w:hint="eastAsia"/>
          <w:sz w:val="24"/>
        </w:rPr>
        <w:t>理财</w:t>
      </w:r>
      <w:r>
        <w:rPr>
          <w:sz w:val="24"/>
        </w:rPr>
        <w:t>产品说明书》项下各方权利义务履行完毕之日，本协议自动终</w:t>
      </w:r>
      <w:r>
        <w:rPr>
          <w:rFonts w:hint="eastAsia"/>
          <w:sz w:val="24"/>
        </w:rPr>
        <w:t>止。</w:t>
      </w:r>
    </w:p>
    <w:p w:rsidR="00D0166A" w:rsidRPr="004A599D" w:rsidRDefault="006A53B6" w:rsidP="004A599D">
      <w:pPr>
        <w:pStyle w:val="ListParagraph4b42f0ce"/>
        <w:spacing w:line="360" w:lineRule="auto"/>
        <w:ind w:firstLine="482"/>
        <w:rPr>
          <w:rFonts w:ascii="宋体" w:hAnsi="宋体"/>
          <w:b/>
          <w:sz w:val="24"/>
        </w:rPr>
      </w:pPr>
      <w:r w:rsidRPr="004A599D">
        <w:rPr>
          <w:rFonts w:ascii="宋体" w:hAnsi="宋体" w:hint="eastAsia"/>
          <w:b/>
          <w:sz w:val="24"/>
        </w:rPr>
        <w:t>第七条</w:t>
      </w:r>
      <w:r w:rsidRPr="004A599D">
        <w:rPr>
          <w:rFonts w:ascii="宋体" w:hAnsi="宋体"/>
          <w:sz w:val="24"/>
        </w:rPr>
        <w:t xml:space="preserve"> </w:t>
      </w:r>
      <w:r w:rsidRPr="004A599D">
        <w:rPr>
          <w:rFonts w:ascii="宋体" w:hAnsi="宋体" w:hint="eastAsia"/>
          <w:b/>
          <w:sz w:val="24"/>
        </w:rPr>
        <w:t>本协议与本理财产品的《理财产品说明书》、《风险揭示书》、</w:t>
      </w:r>
      <w:r w:rsidRPr="004A599D">
        <w:rPr>
          <w:rFonts w:ascii="宋体" w:hAnsi="宋体" w:hint="eastAsia"/>
          <w:b/>
          <w:sz w:val="24"/>
        </w:rPr>
        <w:t>《销售</w:t>
      </w:r>
      <w:r w:rsidRPr="004A599D">
        <w:rPr>
          <w:rFonts w:ascii="宋体" w:hAnsi="宋体" w:hint="eastAsia"/>
          <w:b/>
          <w:sz w:val="24"/>
        </w:rPr>
        <w:lastRenderedPageBreak/>
        <w:t>（代理销售）协议书》</w:t>
      </w:r>
      <w:r w:rsidRPr="004A599D">
        <w:rPr>
          <w:rFonts w:ascii="宋体" w:hAnsi="宋体" w:hint="eastAsia"/>
          <w:b/>
          <w:sz w:val="24"/>
        </w:rPr>
        <w:t>、《投资者权益须知》等理财产品销售文件共同构成一份完整且不可分割的、关于甲方所投资乙方</w:t>
      </w:r>
      <w:r w:rsidRPr="004A599D">
        <w:rPr>
          <w:rFonts w:ascii="宋体" w:hAnsi="宋体" w:hint="eastAsia"/>
          <w:b/>
          <w:sz w:val="24"/>
        </w:rPr>
        <w:t>发行</w:t>
      </w:r>
      <w:r w:rsidRPr="004A599D">
        <w:rPr>
          <w:rFonts w:ascii="宋体" w:hAnsi="宋体"/>
          <w:b/>
          <w:sz w:val="24"/>
        </w:rPr>
        <w:t>管理的本</w:t>
      </w:r>
      <w:r w:rsidRPr="004A599D">
        <w:rPr>
          <w:rFonts w:ascii="宋体" w:hAnsi="宋体" w:hint="eastAsia"/>
          <w:b/>
          <w:sz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D0166A" w:rsidRPr="004A599D" w:rsidRDefault="006A53B6" w:rsidP="004A599D">
      <w:pPr>
        <w:pStyle w:val="ListParagraph4b42f0ce"/>
        <w:spacing w:line="360" w:lineRule="auto"/>
        <w:ind w:firstLine="480"/>
        <w:rPr>
          <w:rFonts w:ascii="宋体" w:hAnsi="宋体"/>
          <w:sz w:val="24"/>
        </w:rPr>
      </w:pPr>
    </w:p>
    <w:p w:rsidR="00D0166A" w:rsidRPr="004A599D" w:rsidRDefault="006A53B6" w:rsidP="004A599D">
      <w:pPr>
        <w:pStyle w:val="ListParagraph4b42f0ce"/>
        <w:spacing w:line="360" w:lineRule="auto"/>
        <w:ind w:firstLine="482"/>
        <w:rPr>
          <w:rFonts w:ascii="宋体" w:hAnsi="宋体"/>
          <w:b/>
          <w:sz w:val="24"/>
        </w:rPr>
      </w:pPr>
      <w:r w:rsidRPr="004A599D">
        <w:rPr>
          <w:rFonts w:ascii="宋体" w:hAnsi="宋体" w:hint="eastAsia"/>
          <w:b/>
          <w:sz w:val="24"/>
        </w:rPr>
        <w:t>声明：甲方是具有完全民事行为能力的</w:t>
      </w:r>
      <w:r w:rsidRPr="004A599D">
        <w:rPr>
          <w:rFonts w:ascii="宋体" w:hAnsi="宋体" w:hint="eastAsia"/>
          <w:b/>
          <w:sz w:val="24"/>
        </w:rPr>
        <w:t>自然人</w:t>
      </w:r>
      <w:r w:rsidRPr="004A599D">
        <w:rPr>
          <w:rFonts w:ascii="宋体" w:hAnsi="宋体"/>
          <w:b/>
          <w:sz w:val="24"/>
        </w:rPr>
        <w:t>/</w:t>
      </w:r>
      <w:r w:rsidRPr="004A599D">
        <w:rPr>
          <w:rFonts w:ascii="宋体" w:hAnsi="宋体" w:hint="eastAsia"/>
          <w:b/>
          <w:sz w:val="24"/>
        </w:rPr>
        <w:t>法人</w:t>
      </w:r>
      <w:r w:rsidRPr="004A599D">
        <w:rPr>
          <w:rFonts w:ascii="宋体" w:hAnsi="宋体"/>
          <w:b/>
          <w:sz w:val="24"/>
        </w:rPr>
        <w:t>/</w:t>
      </w:r>
      <w:r w:rsidRPr="004A599D">
        <w:rPr>
          <w:rFonts w:ascii="宋体" w:hAnsi="宋体" w:hint="eastAsia"/>
          <w:b/>
          <w:sz w:val="24"/>
        </w:rPr>
        <w:t>其他</w:t>
      </w:r>
      <w:r w:rsidRPr="004A599D">
        <w:rPr>
          <w:rFonts w:ascii="宋体" w:hAnsi="宋体"/>
          <w:b/>
          <w:sz w:val="24"/>
        </w:rPr>
        <w:t>组织</w:t>
      </w:r>
      <w:r w:rsidRPr="004A599D">
        <w:rPr>
          <w:rFonts w:ascii="宋体" w:hAnsi="宋体" w:hint="eastAsia"/>
          <w:b/>
          <w:sz w:val="24"/>
        </w:rPr>
        <w:t>，自愿</w:t>
      </w:r>
      <w:r w:rsidRPr="004A599D">
        <w:rPr>
          <w:rFonts w:ascii="宋体" w:hAnsi="宋体" w:hint="eastAsia"/>
          <w:b/>
          <w:sz w:val="24"/>
        </w:rPr>
        <w:t>投资</w:t>
      </w:r>
      <w:r w:rsidRPr="004A599D">
        <w:rPr>
          <w:rFonts w:ascii="宋体" w:hAnsi="宋体" w:hint="eastAsia"/>
          <w:b/>
          <w:sz w:val="24"/>
        </w:rPr>
        <w:t>本</w:t>
      </w:r>
      <w:r w:rsidRPr="004A599D">
        <w:rPr>
          <w:rFonts w:ascii="宋体" w:hAnsi="宋体" w:hint="eastAsia"/>
          <w:b/>
          <w:sz w:val="24"/>
        </w:rPr>
        <w:t>理财</w:t>
      </w:r>
      <w:r w:rsidRPr="004A599D">
        <w:rPr>
          <w:rFonts w:ascii="宋体" w:hAnsi="宋体" w:hint="eastAsia"/>
          <w:b/>
          <w:sz w:val="24"/>
        </w:rPr>
        <w:t>产品，接受乙方提供的投资理财服务。甲方确认已完整阅读本理财产品的《理财产品说明书》、《风险揭示书》、</w:t>
      </w:r>
      <w:r w:rsidRPr="004A599D">
        <w:rPr>
          <w:rFonts w:ascii="宋体" w:hAnsi="宋体" w:hint="eastAsia"/>
          <w:b/>
          <w:sz w:val="24"/>
        </w:rPr>
        <w:t>《销售（代理销售）协议书》</w:t>
      </w:r>
      <w:r w:rsidRPr="004A599D">
        <w:rPr>
          <w:rFonts w:ascii="宋体" w:hAnsi="宋体" w:hint="eastAsia"/>
          <w:b/>
          <w:sz w:val="24"/>
        </w:rPr>
        <w:t>、《投资者权益须知》及</w:t>
      </w:r>
      <w:r w:rsidRPr="004A599D">
        <w:rPr>
          <w:rFonts w:ascii="宋体" w:hAnsi="宋体"/>
          <w:b/>
          <w:sz w:val="24"/>
        </w:rPr>
        <w:t>本</w:t>
      </w:r>
      <w:r w:rsidRPr="004A599D">
        <w:rPr>
          <w:rFonts w:ascii="宋体" w:hAnsi="宋体" w:hint="eastAsia"/>
          <w:b/>
          <w:sz w:val="24"/>
        </w:rPr>
        <w:t>协议，并知晓清楚全部条款，签署</w:t>
      </w:r>
      <w:r w:rsidRPr="004A599D">
        <w:rPr>
          <w:rFonts w:ascii="宋体" w:hAnsi="宋体"/>
          <w:b/>
          <w:sz w:val="24"/>
        </w:rPr>
        <w:t>本协议视为对前述</w:t>
      </w:r>
      <w:r w:rsidRPr="004A599D">
        <w:rPr>
          <w:rFonts w:ascii="宋体" w:hAnsi="宋体" w:hint="eastAsia"/>
          <w:b/>
          <w:sz w:val="24"/>
        </w:rPr>
        <w:t>理财产品</w:t>
      </w:r>
      <w:r w:rsidRPr="004A599D">
        <w:rPr>
          <w:rFonts w:ascii="宋体" w:hAnsi="宋体"/>
          <w:b/>
          <w:sz w:val="24"/>
        </w:rPr>
        <w:t>销售文件的</w:t>
      </w:r>
      <w:r w:rsidRPr="004A599D">
        <w:rPr>
          <w:rFonts w:ascii="宋体" w:hAnsi="宋体" w:hint="eastAsia"/>
          <w:b/>
          <w:sz w:val="24"/>
        </w:rPr>
        <w:t>签署</w:t>
      </w:r>
      <w:r w:rsidRPr="004A599D">
        <w:rPr>
          <w:rFonts w:ascii="宋体" w:hAnsi="宋体"/>
          <w:b/>
          <w:sz w:val="24"/>
        </w:rPr>
        <w:t>与确认，</w:t>
      </w:r>
      <w:r w:rsidRPr="004A599D">
        <w:rPr>
          <w:rFonts w:ascii="宋体" w:hAnsi="宋体" w:hint="eastAsia"/>
          <w:b/>
          <w:sz w:val="24"/>
        </w:rPr>
        <w:t>甲方对本协议</w:t>
      </w:r>
      <w:r w:rsidRPr="004A599D">
        <w:rPr>
          <w:rFonts w:ascii="宋体" w:hAnsi="宋体" w:hint="eastAsia"/>
          <w:b/>
          <w:sz w:val="24"/>
        </w:rPr>
        <w:t>相关条款不存在任何疑问或异议。</w:t>
      </w:r>
    </w:p>
    <w:p w:rsidR="00D0166A" w:rsidRPr="004A599D" w:rsidRDefault="006A53B6" w:rsidP="004A599D">
      <w:pPr>
        <w:pStyle w:val="ListParagraph4b42f0ce"/>
        <w:spacing w:line="360" w:lineRule="auto"/>
        <w:ind w:firstLine="482"/>
        <w:rPr>
          <w:rFonts w:ascii="宋体" w:hAnsi="宋体"/>
          <w:b/>
          <w:sz w:val="24"/>
        </w:rPr>
      </w:pPr>
    </w:p>
    <w:p w:rsidR="00D0166A" w:rsidRPr="004A599D" w:rsidRDefault="006A53B6">
      <w:pPr>
        <w:pStyle w:val="Normalfd659043"/>
        <w:tabs>
          <w:tab w:val="left" w:pos="3460"/>
        </w:tabs>
        <w:spacing w:line="312" w:lineRule="auto"/>
        <w:ind w:leftChars="30" w:left="63"/>
        <w:rPr>
          <w:rFonts w:ascii="宋体" w:eastAsia="黑体" w:hAnsi="宋体"/>
          <w:b/>
          <w:kern w:val="0"/>
          <w:sz w:val="24"/>
        </w:rPr>
      </w:pPr>
      <w:r w:rsidRPr="004A599D">
        <w:rPr>
          <w:rFonts w:ascii="宋体" w:hAnsi="宋体" w:hint="eastAsia"/>
          <w:b/>
          <w:kern w:val="0"/>
          <w:sz w:val="24"/>
        </w:rPr>
        <w:t>甲方签字</w:t>
      </w:r>
      <w:r w:rsidRPr="004A599D">
        <w:rPr>
          <w:rFonts w:ascii="宋体" w:hAnsi="宋体"/>
          <w:b/>
          <w:kern w:val="0"/>
          <w:sz w:val="24"/>
        </w:rPr>
        <w:t xml:space="preserve">   ____________</w:t>
      </w:r>
      <w:r>
        <w:rPr>
          <w:b/>
          <w:kern w:val="0"/>
          <w:sz w:val="24"/>
        </w:rPr>
        <w:tab/>
      </w:r>
    </w:p>
    <w:p w:rsidR="00D0166A" w:rsidRPr="004A599D" w:rsidRDefault="006A53B6">
      <w:pPr>
        <w:pStyle w:val="Normalfd659043"/>
        <w:tabs>
          <w:tab w:val="left" w:pos="3460"/>
        </w:tabs>
        <w:spacing w:line="312" w:lineRule="auto"/>
        <w:ind w:leftChars="30" w:left="63"/>
        <w:rPr>
          <w:rFonts w:ascii="宋体" w:hAnsi="宋体"/>
          <w:b/>
          <w:kern w:val="0"/>
          <w:sz w:val="24"/>
        </w:rPr>
      </w:pPr>
    </w:p>
    <w:p w:rsidR="00D0166A" w:rsidRPr="004A599D" w:rsidRDefault="006A53B6">
      <w:pPr>
        <w:pStyle w:val="Normalfd659043"/>
        <w:spacing w:line="312" w:lineRule="auto"/>
        <w:rPr>
          <w:rFonts w:ascii="宋体" w:hAnsi="宋体"/>
          <w:b/>
          <w:kern w:val="0"/>
          <w:sz w:val="24"/>
        </w:rPr>
      </w:pPr>
      <w:r w:rsidRPr="004A599D">
        <w:rPr>
          <w:rFonts w:ascii="宋体" w:hAnsi="宋体" w:hint="eastAsia"/>
          <w:b/>
          <w:kern w:val="0"/>
          <w:sz w:val="24"/>
        </w:rPr>
        <w:t>（</w:t>
      </w:r>
      <w:r w:rsidRPr="004A599D">
        <w:rPr>
          <w:rFonts w:ascii="宋体" w:hAnsi="宋体"/>
          <w:b/>
          <w:kern w:val="0"/>
          <w:sz w:val="24"/>
        </w:rPr>
        <w:t>机构投资者</w:t>
      </w:r>
      <w:r>
        <w:rPr>
          <w:rFonts w:hint="eastAsia"/>
          <w:b/>
          <w:kern w:val="0"/>
          <w:sz w:val="24"/>
        </w:rPr>
        <w:t>加</w:t>
      </w:r>
      <w:r w:rsidRPr="004A599D">
        <w:rPr>
          <w:rFonts w:ascii="宋体" w:hAnsi="宋体"/>
          <w:b/>
          <w:kern w:val="0"/>
          <w:sz w:val="24"/>
        </w:rPr>
        <w:t>盖</w:t>
      </w:r>
      <w:r w:rsidRPr="004A599D">
        <w:rPr>
          <w:rFonts w:ascii="宋体" w:hAnsi="宋体" w:hint="eastAsia"/>
          <w:b/>
          <w:kern w:val="0"/>
          <w:sz w:val="24"/>
        </w:rPr>
        <w:t>公</w:t>
      </w:r>
      <w:r w:rsidRPr="004A599D">
        <w:rPr>
          <w:rFonts w:ascii="宋体" w:hAnsi="宋体"/>
          <w:b/>
          <w:kern w:val="0"/>
          <w:sz w:val="24"/>
        </w:rPr>
        <w:t>章）</w:t>
      </w:r>
    </w:p>
    <w:p w:rsidR="00D0166A" w:rsidRPr="004A599D" w:rsidRDefault="006A53B6">
      <w:pPr>
        <w:pStyle w:val="Normalfd659043"/>
        <w:spacing w:line="312" w:lineRule="auto"/>
        <w:rPr>
          <w:rFonts w:ascii="宋体" w:hAnsi="宋体"/>
          <w:b/>
          <w:kern w:val="0"/>
          <w:sz w:val="24"/>
        </w:rPr>
      </w:pPr>
    </w:p>
    <w:p w:rsidR="00D0166A" w:rsidRPr="004A599D" w:rsidRDefault="006A53B6">
      <w:pPr>
        <w:pStyle w:val="Normalfd659043"/>
        <w:spacing w:line="312" w:lineRule="auto"/>
        <w:rPr>
          <w:rFonts w:ascii="宋体" w:eastAsia="黑体" w:hAnsi="宋体"/>
          <w:sz w:val="24"/>
        </w:rPr>
      </w:pPr>
      <w:r w:rsidRPr="004A599D">
        <w:rPr>
          <w:rFonts w:ascii="宋体" w:hAnsi="宋体" w:hint="eastAsia"/>
          <w:b/>
          <w:kern w:val="0"/>
          <w:sz w:val="24"/>
        </w:rPr>
        <w:t>日期</w:t>
      </w:r>
      <w:r w:rsidRPr="004A599D">
        <w:rPr>
          <w:rFonts w:ascii="宋体" w:hAnsi="宋体"/>
          <w:b/>
          <w:kern w:val="0"/>
          <w:sz w:val="24"/>
        </w:rPr>
        <w:t xml:space="preserve">         ____________</w:t>
      </w:r>
    </w:p>
    <w:p w:rsidR="00FC1DA6" w:rsidRDefault="006A53B6">
      <w:r>
        <w:br w:type="page"/>
      </w:r>
    </w:p>
    <w:p w:rsidR="0020457C" w:rsidRPr="0020457C" w:rsidRDefault="006A53B6" w:rsidP="0020457C">
      <w:pPr>
        <w:pStyle w:val="Normal861f8d48"/>
        <w:jc w:val="center"/>
        <w:rPr>
          <w:rFonts w:ascii="黑体" w:cs="Times New Roman"/>
          <w:b/>
          <w:sz w:val="44"/>
          <w:szCs w:val="44"/>
        </w:rPr>
      </w:pPr>
      <w:r w:rsidRPr="0020457C">
        <w:rPr>
          <w:rFonts w:ascii="黑体" w:cs="Times New Roman" w:hint="eastAsia"/>
          <w:b/>
          <w:sz w:val="44"/>
          <w:szCs w:val="44"/>
        </w:rPr>
        <w:lastRenderedPageBreak/>
        <w:t>宁银理财</w:t>
      </w:r>
      <w:r w:rsidRPr="00576A5B">
        <w:rPr>
          <w:rFonts w:ascii="黑体" w:cs="Times New Roman" w:hint="eastAsia"/>
          <w:b/>
          <w:sz w:val="44"/>
          <w:szCs w:val="44"/>
        </w:rPr>
        <w:t>宁欣天天鎏金现金管理类理财产品</w:t>
      </w:r>
      <w:r w:rsidRPr="00576A5B">
        <w:rPr>
          <w:rFonts w:ascii="黑体" w:cs="Times New Roman"/>
          <w:b/>
          <w:sz w:val="44"/>
          <w:szCs w:val="44"/>
        </w:rPr>
        <w:t>3</w:t>
      </w:r>
      <w:r w:rsidRPr="00576A5B">
        <w:rPr>
          <w:rFonts w:ascii="黑体" w:cs="Times New Roman"/>
          <w:b/>
          <w:sz w:val="44"/>
          <w:szCs w:val="44"/>
        </w:rPr>
        <w:t>号</w:t>
      </w:r>
      <w:r w:rsidRPr="0020457C">
        <w:rPr>
          <w:rFonts w:ascii="黑体" w:cs="Times New Roman" w:hint="eastAsia"/>
          <w:b/>
          <w:sz w:val="44"/>
          <w:szCs w:val="44"/>
        </w:rPr>
        <w:t>产品风险揭示书</w:t>
      </w:r>
    </w:p>
    <w:p w:rsidR="0020457C" w:rsidRPr="0020457C" w:rsidRDefault="006A53B6" w:rsidP="0020457C">
      <w:pPr>
        <w:pStyle w:val="Normal861f8d48"/>
        <w:spacing w:line="312" w:lineRule="auto"/>
        <w:jc w:val="center"/>
        <w:rPr>
          <w:rFonts w:ascii="黑体" w:cs="Times New Roman"/>
          <w:b/>
          <w:sz w:val="44"/>
          <w:szCs w:val="44"/>
        </w:rPr>
      </w:pPr>
      <w:r w:rsidRPr="0020457C">
        <w:rPr>
          <w:rFonts w:eastAsia="宋体" w:cs="Times New Roman" w:hint="eastAsia"/>
          <w:b/>
          <w:sz w:val="24"/>
          <w:szCs w:val="24"/>
        </w:rPr>
        <w:t>（</w:t>
      </w:r>
      <w:r w:rsidRPr="00C41586">
        <w:rPr>
          <w:rFonts w:eastAsia="宋体" w:cs="Times New Roman"/>
          <w:b/>
          <w:sz w:val="24"/>
          <w:szCs w:val="24"/>
        </w:rPr>
        <w:t>202</w:t>
      </w:r>
      <w:r>
        <w:rPr>
          <w:rFonts w:eastAsia="宋体" w:cs="Times New Roman"/>
          <w:b/>
          <w:sz w:val="24"/>
          <w:szCs w:val="24"/>
        </w:rPr>
        <w:t>3</w:t>
      </w:r>
      <w:r w:rsidRPr="00C41586">
        <w:rPr>
          <w:rFonts w:eastAsia="宋体" w:cs="Times New Roman"/>
          <w:b/>
          <w:sz w:val="24"/>
          <w:szCs w:val="24"/>
        </w:rPr>
        <w:t>0</w:t>
      </w:r>
      <w:r>
        <w:rPr>
          <w:rFonts w:eastAsia="宋体" w:cs="Times New Roman"/>
          <w:b/>
          <w:sz w:val="24"/>
          <w:szCs w:val="24"/>
        </w:rPr>
        <w:t>6</w:t>
      </w:r>
      <w:r w:rsidRPr="0020457C">
        <w:rPr>
          <w:rFonts w:eastAsia="宋体" w:cs="Times New Roman" w:hint="eastAsia"/>
          <w:b/>
          <w:sz w:val="24"/>
          <w:szCs w:val="24"/>
        </w:rPr>
        <w:t>版）</w:t>
      </w:r>
    </w:p>
    <w:p w:rsidR="0020457C" w:rsidRPr="0020457C" w:rsidRDefault="006A53B6" w:rsidP="0020457C">
      <w:pPr>
        <w:pStyle w:val="Normal861f8d48"/>
        <w:spacing w:line="312" w:lineRule="auto"/>
        <w:rPr>
          <w:rFonts w:eastAsia="宋体" w:cs="Times New Roman"/>
          <w:sz w:val="24"/>
          <w:szCs w:val="24"/>
        </w:rPr>
      </w:pPr>
      <w:r w:rsidRPr="0020457C">
        <w:rPr>
          <w:rFonts w:eastAsia="宋体" w:cs="Times New Roman" w:hint="eastAsia"/>
          <w:sz w:val="24"/>
          <w:szCs w:val="24"/>
        </w:rPr>
        <w:t>尊敬的投资者：</w:t>
      </w:r>
    </w:p>
    <w:p w:rsidR="0020457C" w:rsidRPr="0020457C" w:rsidRDefault="006A53B6" w:rsidP="0020457C">
      <w:pPr>
        <w:pStyle w:val="Normal861f8d48"/>
        <w:spacing w:line="312" w:lineRule="auto"/>
        <w:jc w:val="center"/>
        <w:rPr>
          <w:rFonts w:eastAsia="宋体" w:cs="Times New Roman"/>
          <w:b/>
          <w:sz w:val="24"/>
          <w:szCs w:val="24"/>
          <w:u w:val="single"/>
        </w:rPr>
      </w:pPr>
      <w:r w:rsidRPr="0020457C">
        <w:rPr>
          <w:rFonts w:eastAsia="宋体" w:cs="Times New Roman" w:hint="eastAsia"/>
          <w:b/>
          <w:sz w:val="24"/>
          <w:szCs w:val="24"/>
          <w:u w:val="single"/>
        </w:rPr>
        <w:t>理财非存款、产品有风险、投资须谨慎。</w:t>
      </w:r>
    </w:p>
    <w:p w:rsidR="0020457C" w:rsidRPr="0020457C" w:rsidRDefault="006A53B6" w:rsidP="0020457C">
      <w:pPr>
        <w:pStyle w:val="Normal861f8d48"/>
        <w:spacing w:line="312" w:lineRule="auto"/>
        <w:ind w:firstLine="555"/>
        <w:rPr>
          <w:rFonts w:eastAsia="宋体" w:cs="Times New Roman"/>
          <w:sz w:val="24"/>
          <w:szCs w:val="24"/>
        </w:rPr>
      </w:pPr>
      <w:r w:rsidRPr="0020457C">
        <w:rPr>
          <w:rFonts w:eastAsia="宋体" w:cs="Times New Roman" w:hint="eastAsia"/>
          <w:sz w:val="24"/>
          <w:szCs w:val="24"/>
        </w:rPr>
        <w:t>本产品</w:t>
      </w:r>
      <w:r w:rsidRPr="0020457C">
        <w:rPr>
          <w:rFonts w:eastAsia="宋体" w:cs="Times New Roman"/>
          <w:sz w:val="24"/>
          <w:szCs w:val="24"/>
        </w:rPr>
        <w:t>系宁银理财有限</w:t>
      </w:r>
      <w:r w:rsidRPr="0020457C">
        <w:rPr>
          <w:rFonts w:eastAsia="宋体" w:cs="Times New Roman" w:hint="eastAsia"/>
          <w:sz w:val="24"/>
          <w:szCs w:val="24"/>
        </w:rPr>
        <w:t>责任</w:t>
      </w:r>
      <w:r w:rsidRPr="0020457C">
        <w:rPr>
          <w:rFonts w:eastAsia="宋体" w:cs="Times New Roman"/>
          <w:sz w:val="24"/>
          <w:szCs w:val="24"/>
        </w:rPr>
        <w:t>公司</w:t>
      </w:r>
      <w:r w:rsidRPr="0020457C">
        <w:rPr>
          <w:rFonts w:eastAsia="宋体" w:cs="Times New Roman" w:hint="eastAsia"/>
          <w:sz w:val="24"/>
          <w:szCs w:val="24"/>
        </w:rPr>
        <w:t>（下称“宁银理财”或“本公司”）</w:t>
      </w:r>
      <w:r w:rsidRPr="0020457C">
        <w:rPr>
          <w:rFonts w:eastAsia="宋体" w:cs="Times New Roman"/>
          <w:sz w:val="24"/>
          <w:szCs w:val="24"/>
        </w:rPr>
        <w:t>发行</w:t>
      </w:r>
      <w:r w:rsidRPr="0020457C">
        <w:rPr>
          <w:rFonts w:eastAsia="宋体" w:cs="Times New Roman" w:hint="eastAsia"/>
          <w:sz w:val="24"/>
          <w:szCs w:val="24"/>
        </w:rPr>
        <w:t>运作</w:t>
      </w:r>
      <w:r w:rsidRPr="0020457C">
        <w:rPr>
          <w:rFonts w:eastAsia="宋体" w:cs="Times New Roman"/>
          <w:sz w:val="24"/>
          <w:szCs w:val="24"/>
        </w:rPr>
        <w:t>的</w:t>
      </w:r>
      <w:r w:rsidRPr="0020457C">
        <w:rPr>
          <w:rFonts w:eastAsia="宋体" w:cs="Times New Roman"/>
          <w:b/>
          <w:sz w:val="24"/>
          <w:szCs w:val="24"/>
        </w:rPr>
        <w:t>非保本</w:t>
      </w:r>
      <w:r w:rsidRPr="0020457C">
        <w:rPr>
          <w:rFonts w:eastAsia="宋体" w:cs="Times New Roman"/>
          <w:sz w:val="24"/>
          <w:szCs w:val="24"/>
        </w:rPr>
        <w:t>理财产品，</w:t>
      </w:r>
      <w:r w:rsidRPr="0020457C">
        <w:rPr>
          <w:rFonts w:eastAsia="宋体" w:cs="Times New Roman" w:hint="eastAsia"/>
          <w:sz w:val="24"/>
          <w:szCs w:val="24"/>
        </w:rPr>
        <w:t>在本产品下</w:t>
      </w:r>
      <w:r w:rsidRPr="0020457C">
        <w:rPr>
          <w:rFonts w:eastAsia="宋体" w:cs="Times New Roman"/>
          <w:sz w:val="24"/>
          <w:szCs w:val="24"/>
        </w:rPr>
        <w:t>，</w:t>
      </w:r>
      <w:r w:rsidRPr="0020457C">
        <w:rPr>
          <w:rFonts w:eastAsia="宋体" w:cs="Times New Roman" w:hint="eastAsia"/>
          <w:sz w:val="24"/>
          <w:szCs w:val="24"/>
        </w:rPr>
        <w:t>您</w:t>
      </w:r>
      <w:r w:rsidRPr="0020457C">
        <w:rPr>
          <w:rFonts w:eastAsia="宋体" w:cs="Times New Roman"/>
          <w:sz w:val="24"/>
          <w:szCs w:val="24"/>
        </w:rPr>
        <w:t>委托</w:t>
      </w:r>
      <w:r w:rsidRPr="0020457C">
        <w:rPr>
          <w:rFonts w:eastAsia="宋体" w:cs="Times New Roman" w:hint="eastAsia"/>
          <w:sz w:val="24"/>
          <w:szCs w:val="24"/>
        </w:rPr>
        <w:t>本</w:t>
      </w:r>
      <w:r w:rsidRPr="0020457C">
        <w:rPr>
          <w:rFonts w:eastAsia="宋体" w:cs="Times New Roman"/>
          <w:sz w:val="24"/>
          <w:szCs w:val="24"/>
        </w:rPr>
        <w:t>公司</w:t>
      </w:r>
      <w:r w:rsidRPr="0020457C">
        <w:rPr>
          <w:rFonts w:eastAsia="宋体" w:cs="Times New Roman" w:hint="eastAsia"/>
          <w:sz w:val="24"/>
          <w:szCs w:val="24"/>
        </w:rPr>
        <w:t>对理财产品资金进行投资管理</w:t>
      </w:r>
      <w:r w:rsidRPr="0020457C">
        <w:rPr>
          <w:rFonts w:eastAsia="宋体" w:cs="Times New Roman"/>
          <w:sz w:val="24"/>
          <w:szCs w:val="24"/>
        </w:rPr>
        <w:t>，</w:t>
      </w:r>
      <w:r w:rsidRPr="0020457C">
        <w:rPr>
          <w:rFonts w:eastAsia="宋体" w:cs="Times New Roman" w:hint="eastAsia"/>
          <w:sz w:val="24"/>
          <w:szCs w:val="24"/>
        </w:rPr>
        <w:t>本公司</w:t>
      </w:r>
      <w:r w:rsidRPr="0020457C">
        <w:rPr>
          <w:rFonts w:eastAsia="宋体" w:cs="Times New Roman"/>
          <w:sz w:val="24"/>
          <w:szCs w:val="24"/>
        </w:rPr>
        <w:t>将</w:t>
      </w:r>
      <w:r w:rsidRPr="0020457C">
        <w:rPr>
          <w:rFonts w:eastAsia="宋体" w:cs="Times New Roman" w:hint="eastAsia"/>
          <w:sz w:val="24"/>
          <w:szCs w:val="24"/>
        </w:rPr>
        <w:t>按照约定条件和实际投资收益情况向您支付收益，不保证本金支付和收益水平</w:t>
      </w:r>
      <w:r w:rsidRPr="0020457C">
        <w:rPr>
          <w:rFonts w:eastAsia="宋体" w:cs="Times New Roman"/>
          <w:sz w:val="24"/>
          <w:szCs w:val="24"/>
        </w:rPr>
        <w:t>。</w:t>
      </w:r>
    </w:p>
    <w:p w:rsidR="0020457C" w:rsidRPr="0020457C" w:rsidRDefault="006A53B6" w:rsidP="0020457C">
      <w:pPr>
        <w:pStyle w:val="Normal861f8d48"/>
        <w:spacing w:line="312" w:lineRule="auto"/>
        <w:ind w:firstLine="555"/>
        <w:rPr>
          <w:rFonts w:eastAsia="宋体" w:cs="Times New Roman"/>
          <w:sz w:val="24"/>
          <w:szCs w:val="24"/>
        </w:rPr>
      </w:pPr>
      <w:r w:rsidRPr="0020457C">
        <w:rPr>
          <w:rFonts w:eastAsia="宋体" w:cs="Times New Roman" w:hint="eastAsia"/>
          <w:b/>
          <w:sz w:val="24"/>
          <w:szCs w:val="24"/>
        </w:rPr>
        <w:t>请仔细阅读理财产品销售文件（包括但不限于《理财产品说明书》、《风险揭示书》、《销售（代理销售）协议书》、《投资协议书》、《投资者权益须知》），确保</w:t>
      </w:r>
      <w:r w:rsidRPr="0020457C">
        <w:rPr>
          <w:rFonts w:eastAsia="宋体" w:cs="Times New Roman"/>
          <w:b/>
          <w:sz w:val="24"/>
          <w:szCs w:val="24"/>
        </w:rPr>
        <w:t>您已</w:t>
      </w:r>
      <w:r w:rsidRPr="0020457C">
        <w:rPr>
          <w:rFonts w:eastAsia="宋体" w:cs="Times New Roman" w:hint="eastAsia"/>
          <w:b/>
          <w:sz w:val="24"/>
          <w:szCs w:val="24"/>
        </w:rPr>
        <w:t>了解自己的风险承受能力、</w:t>
      </w:r>
      <w:r w:rsidRPr="0020457C">
        <w:rPr>
          <w:rFonts w:eastAsia="宋体" w:cs="Times New Roman"/>
          <w:b/>
          <w:sz w:val="24"/>
          <w:szCs w:val="24"/>
        </w:rPr>
        <w:t>理财</w:t>
      </w:r>
      <w:r w:rsidRPr="0020457C">
        <w:rPr>
          <w:rFonts w:eastAsia="宋体" w:cs="Times New Roman" w:hint="eastAsia"/>
          <w:b/>
          <w:sz w:val="24"/>
          <w:szCs w:val="24"/>
        </w:rPr>
        <w:t>产品具体信息及风险后，谨慎投资。如影响您风险承受能力的因素发生变化，请及时更新风险承受能力评估。</w:t>
      </w:r>
    </w:p>
    <w:p w:rsidR="0020457C" w:rsidRPr="0020457C" w:rsidRDefault="006A53B6" w:rsidP="0020457C">
      <w:pPr>
        <w:pStyle w:val="Normal861f8d48"/>
        <w:spacing w:line="312" w:lineRule="auto"/>
        <w:ind w:leftChars="30" w:left="63" w:firstLineChars="200" w:firstLine="480"/>
        <w:rPr>
          <w:rFonts w:eastAsia="宋体" w:cs="Courier New"/>
          <w:b/>
          <w:bCs/>
          <w:sz w:val="24"/>
          <w:szCs w:val="24"/>
        </w:rPr>
      </w:pPr>
      <w:r w:rsidRPr="0020457C">
        <w:rPr>
          <w:rFonts w:eastAsia="宋体" w:cs="Times New Roman" w:hint="eastAsia"/>
          <w:sz w:val="24"/>
          <w:szCs w:val="24"/>
        </w:rPr>
        <w:t>购买本</w:t>
      </w:r>
      <w:r w:rsidRPr="0020457C">
        <w:rPr>
          <w:rFonts w:eastAsia="宋体" w:cs="Times New Roman"/>
          <w:sz w:val="24"/>
          <w:szCs w:val="24"/>
        </w:rPr>
        <w:t>理财产品</w:t>
      </w:r>
      <w:r w:rsidRPr="0020457C">
        <w:rPr>
          <w:rFonts w:eastAsia="宋体" w:cs="Times New Roman" w:hint="eastAsia"/>
          <w:sz w:val="24"/>
          <w:szCs w:val="24"/>
        </w:rPr>
        <w:t>，您将</w:t>
      </w:r>
      <w:r>
        <w:rPr>
          <w:rFonts w:eastAsia="宋体" w:cs="Times New Roman" w:hint="eastAsia"/>
          <w:sz w:val="24"/>
          <w:szCs w:val="24"/>
        </w:rPr>
        <w:t>可能</w:t>
      </w:r>
      <w:r w:rsidRPr="0020457C">
        <w:rPr>
          <w:rFonts w:eastAsia="宋体" w:cs="Times New Roman" w:hint="eastAsia"/>
          <w:sz w:val="24"/>
          <w:szCs w:val="24"/>
        </w:rPr>
        <w:t>面临</w:t>
      </w:r>
      <w:r w:rsidRPr="0020457C">
        <w:rPr>
          <w:rFonts w:eastAsia="宋体" w:cs="Times New Roman" w:hint="eastAsia"/>
          <w:sz w:val="24"/>
          <w:szCs w:val="24"/>
        </w:rPr>
        <w:t>包括但不限于</w:t>
      </w:r>
      <w:r w:rsidRPr="0020457C">
        <w:rPr>
          <w:rFonts w:eastAsia="宋体" w:cs="Times New Roman" w:hint="eastAsia"/>
          <w:sz w:val="24"/>
          <w:szCs w:val="24"/>
        </w:rPr>
        <w:t>以下风险：</w:t>
      </w:r>
    </w:p>
    <w:p w:rsidR="0020457C" w:rsidRPr="0020457C" w:rsidRDefault="006A53B6" w:rsidP="0020457C">
      <w:pPr>
        <w:pStyle w:val="Normal861f8d48"/>
        <w:spacing w:line="276" w:lineRule="auto"/>
        <w:ind w:leftChars="30" w:left="63" w:firstLineChars="200" w:firstLine="482"/>
        <w:rPr>
          <w:rFonts w:eastAsia="宋体" w:cs="Times New Roman"/>
          <w:sz w:val="24"/>
          <w:szCs w:val="24"/>
        </w:rPr>
      </w:pPr>
      <w:r w:rsidRPr="0020457C">
        <w:rPr>
          <w:rFonts w:eastAsia="宋体" w:cs="Times New Roman"/>
          <w:b/>
          <w:sz w:val="24"/>
          <w:szCs w:val="24"/>
        </w:rPr>
        <w:t>1</w:t>
      </w:r>
      <w:r w:rsidRPr="0020457C">
        <w:rPr>
          <w:rFonts w:eastAsia="宋体" w:cs="Times New Roman" w:hint="eastAsia"/>
          <w:b/>
          <w:sz w:val="24"/>
          <w:szCs w:val="24"/>
        </w:rPr>
        <w:t>、市场风险：</w:t>
      </w:r>
      <w:r w:rsidRPr="0020457C">
        <w:rPr>
          <w:rFonts w:eastAsia="宋体" w:cs="Times New Roman" w:hint="eastAsia"/>
          <w:sz w:val="24"/>
          <w:szCs w:val="24"/>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sidRPr="0020457C">
        <w:rPr>
          <w:rFonts w:eastAsia="宋体" w:cs="Times New Roman"/>
          <w:b/>
          <w:sz w:val="24"/>
          <w:szCs w:val="24"/>
        </w:rPr>
        <w:t>2</w:t>
      </w:r>
      <w:r w:rsidRPr="0020457C">
        <w:rPr>
          <w:rFonts w:eastAsia="宋体" w:cs="Times New Roman" w:hint="eastAsia"/>
          <w:b/>
          <w:sz w:val="24"/>
          <w:szCs w:val="24"/>
        </w:rPr>
        <w:t>、信用风险：</w:t>
      </w:r>
      <w:r w:rsidRPr="0020457C">
        <w:rPr>
          <w:rFonts w:eastAsia="宋体" w:cs="Times New Roman" w:hint="eastAsia"/>
          <w:sz w:val="24"/>
          <w:szCs w:val="24"/>
        </w:rPr>
        <w:t>理财产品所投资产的相关债务人或关联责任人（包括但不限于担保人）等信用状况恶化、不能如期履约的风险。</w:t>
      </w: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r w:rsidRPr="0020457C">
        <w:rPr>
          <w:rFonts w:eastAsia="宋体" w:cs="Courier New"/>
          <w:b/>
          <w:bCs/>
          <w:sz w:val="24"/>
          <w:szCs w:val="24"/>
        </w:rPr>
        <w:t>3</w:t>
      </w:r>
      <w:r w:rsidRPr="0020457C">
        <w:rPr>
          <w:rFonts w:eastAsia="宋体" w:cs="Courier New" w:hint="eastAsia"/>
          <w:b/>
          <w:bCs/>
          <w:sz w:val="24"/>
          <w:szCs w:val="24"/>
        </w:rPr>
        <w:t>、</w:t>
      </w:r>
      <w:r w:rsidRPr="0020457C">
        <w:rPr>
          <w:rFonts w:eastAsia="宋体" w:cs="Times New Roman" w:hint="eastAsia"/>
          <w:b/>
          <w:sz w:val="24"/>
          <w:szCs w:val="24"/>
        </w:rPr>
        <w:t>理财产品不成立风险：</w:t>
      </w:r>
      <w:r w:rsidRPr="0020457C">
        <w:rPr>
          <w:rFonts w:eastAsia="宋体" w:cs="Times New Roman" w:hint="eastAsia"/>
          <w:sz w:val="24"/>
          <w:szCs w:val="24"/>
        </w:rPr>
        <w:t>如理财产品募集期届满，发生本理财产品难以成立的情况，宁银理财有权宣布本理财产品不成立。</w:t>
      </w:r>
    </w:p>
    <w:p w:rsidR="0000082D" w:rsidRPr="0000082D" w:rsidRDefault="006A53B6" w:rsidP="0000082D">
      <w:pPr>
        <w:pStyle w:val="Normal861f8d48"/>
        <w:spacing w:line="312" w:lineRule="auto"/>
        <w:ind w:leftChars="30" w:left="63" w:firstLineChars="200" w:firstLine="482"/>
        <w:rPr>
          <w:rFonts w:eastAsia="宋体" w:cs="Times New Roman"/>
          <w:sz w:val="24"/>
          <w:szCs w:val="24"/>
        </w:rPr>
      </w:pPr>
      <w:r w:rsidRPr="0020457C">
        <w:rPr>
          <w:rFonts w:eastAsia="宋体" w:cs="Courier New"/>
          <w:b/>
          <w:bCs/>
          <w:sz w:val="24"/>
          <w:szCs w:val="24"/>
        </w:rPr>
        <w:t>4</w:t>
      </w:r>
      <w:r w:rsidRPr="0020457C">
        <w:rPr>
          <w:rFonts w:eastAsia="宋体" w:cs="Courier New" w:hint="eastAsia"/>
          <w:b/>
          <w:bCs/>
          <w:sz w:val="24"/>
          <w:szCs w:val="24"/>
        </w:rPr>
        <w:t>、流动性风险：</w:t>
      </w:r>
      <w:r w:rsidRPr="0000082D">
        <w:rPr>
          <w:rFonts w:eastAsia="宋体" w:cs="Times New Roman" w:hint="eastAsia"/>
          <w:sz w:val="24"/>
          <w:szCs w:val="24"/>
        </w:rPr>
        <w:t>在特定市场环境</w:t>
      </w:r>
      <w:r w:rsidRPr="0000082D">
        <w:rPr>
          <w:rFonts w:eastAsia="宋体" w:cs="Times New Roman" w:hint="eastAsia"/>
          <w:sz w:val="24"/>
          <w:szCs w:val="24"/>
        </w:rPr>
        <w:t>下，理财产品所投资的上述部分市场或资产可能出现流动性较差的情况，导致理财产品存在无法通过变现资产等途径以合理成本及时获得充足资金，用于满足投资者赎回需求、履行其他支付义务的风险。对于有</w:t>
      </w:r>
      <w:r w:rsidRPr="0000082D">
        <w:rPr>
          <w:rFonts w:eastAsia="宋体" w:cs="Times New Roman"/>
          <w:sz w:val="24"/>
          <w:szCs w:val="24"/>
        </w:rPr>
        <w:t>明确投资期限的理财产品，</w:t>
      </w:r>
      <w:r w:rsidRPr="0000082D">
        <w:rPr>
          <w:rFonts w:eastAsia="宋体" w:cs="Times New Roman" w:hint="eastAsia"/>
          <w:sz w:val="24"/>
          <w:szCs w:val="24"/>
        </w:rPr>
        <w:t>在存续期内如果您产生流动性需求，可能面临理财产品投资期限与资金需求日不匹配的流动性风险。此外</w:t>
      </w:r>
      <w:r w:rsidRPr="0000082D">
        <w:rPr>
          <w:rFonts w:eastAsia="宋体" w:cs="Times New Roman"/>
          <w:sz w:val="24"/>
          <w:szCs w:val="24"/>
        </w:rPr>
        <w:t>，</w:t>
      </w:r>
      <w:r w:rsidRPr="0000082D">
        <w:rPr>
          <w:rFonts w:eastAsia="宋体" w:cs="Times New Roman" w:hint="eastAsia"/>
          <w:sz w:val="24"/>
          <w:szCs w:val="24"/>
        </w:rPr>
        <w:t>针对</w:t>
      </w:r>
      <w:r w:rsidRPr="0000082D">
        <w:rPr>
          <w:rFonts w:eastAsia="宋体" w:cs="Times New Roman"/>
          <w:sz w:val="24"/>
          <w:szCs w:val="24"/>
        </w:rPr>
        <w:t>开放式产品，</w:t>
      </w:r>
      <w:r w:rsidRPr="0000082D">
        <w:rPr>
          <w:rFonts w:eastAsia="宋体" w:cs="Times New Roman" w:hint="eastAsia"/>
          <w:sz w:val="24"/>
          <w:szCs w:val="24"/>
        </w:rPr>
        <w:t>投资者只能在开放期的交易时间内进行申购、赎回，开放期内若发生巨额赎回，投资者将面临不能及时赎回理财产品的流动性风险。</w:t>
      </w:r>
    </w:p>
    <w:p w:rsidR="0000082D" w:rsidRPr="0000082D" w:rsidRDefault="006A53B6" w:rsidP="0000082D">
      <w:pPr>
        <w:pStyle w:val="Normal861f8d48"/>
        <w:spacing w:line="312" w:lineRule="auto"/>
        <w:ind w:leftChars="30" w:left="63" w:firstLineChars="200" w:firstLine="480"/>
        <w:rPr>
          <w:rFonts w:eastAsia="宋体" w:cs="Times New Roman"/>
          <w:sz w:val="24"/>
          <w:szCs w:val="24"/>
        </w:rPr>
      </w:pPr>
      <w:r w:rsidRPr="0000082D">
        <w:rPr>
          <w:rFonts w:eastAsia="宋体" w:cs="Times New Roman" w:hint="eastAsia"/>
          <w:sz w:val="24"/>
          <w:szCs w:val="24"/>
        </w:rPr>
        <w:t>宁银理财可以依照法律法规及产品说明书的约定，综合运用各项理财产品流动性风险应</w:t>
      </w:r>
      <w:r w:rsidRPr="0000082D">
        <w:rPr>
          <w:rFonts w:eastAsia="宋体" w:cs="Times New Roman" w:hint="eastAsia"/>
          <w:sz w:val="24"/>
          <w:szCs w:val="24"/>
        </w:rPr>
        <w:t>对措施：</w:t>
      </w:r>
    </w:p>
    <w:p w:rsidR="0000082D" w:rsidRPr="0000082D" w:rsidRDefault="006A53B6" w:rsidP="0000082D">
      <w:pPr>
        <w:pStyle w:val="Normal861f8d48"/>
        <w:spacing w:line="312" w:lineRule="auto"/>
        <w:ind w:leftChars="30" w:left="63" w:firstLineChars="200" w:firstLine="480"/>
        <w:rPr>
          <w:rFonts w:eastAsia="宋体" w:cs="Times New Roman"/>
          <w:sz w:val="24"/>
          <w:szCs w:val="24"/>
        </w:rPr>
      </w:pPr>
      <w:r w:rsidRPr="0000082D">
        <w:rPr>
          <w:rFonts w:eastAsia="宋体" w:cs="Times New Roman" w:hint="eastAsia"/>
          <w:sz w:val="24"/>
          <w:szCs w:val="24"/>
        </w:rPr>
        <w:t>（一）认购风险应对措施，包括：设定单一投资者认购金额上限、设定理财产品单日净认购比例上限、拒绝大额认购、暂停认购，以及银保监会规定的其他</w:t>
      </w:r>
      <w:r w:rsidRPr="0000082D">
        <w:rPr>
          <w:rFonts w:eastAsia="宋体" w:cs="Times New Roman" w:hint="eastAsia"/>
          <w:sz w:val="24"/>
          <w:szCs w:val="24"/>
        </w:rPr>
        <w:lastRenderedPageBreak/>
        <w:t>措施；</w:t>
      </w:r>
    </w:p>
    <w:p w:rsidR="0000082D" w:rsidRDefault="006A53B6" w:rsidP="0000082D">
      <w:pPr>
        <w:pStyle w:val="Normal861f8d48"/>
        <w:spacing w:line="312" w:lineRule="auto"/>
        <w:ind w:leftChars="30" w:left="63" w:firstLineChars="200" w:firstLine="480"/>
        <w:rPr>
          <w:rFonts w:eastAsia="宋体" w:cs="Times New Roman"/>
          <w:sz w:val="24"/>
          <w:szCs w:val="24"/>
        </w:rPr>
      </w:pPr>
      <w:r w:rsidRPr="0000082D">
        <w:rPr>
          <w:rFonts w:eastAsia="宋体" w:cs="Times New Roman" w:hint="eastAsia"/>
          <w:sz w:val="24"/>
          <w:szCs w:val="24"/>
        </w:rPr>
        <w:t>（二）赎回风险应对措施，包括：设置赎回上限、延期办理巨额赎回申请、暂停接受赎回申请、延缓支付赎回款项、收取短期赎回费、暂停理财产品估值、摆动定价，以及银保监会规定的其他措施。</w:t>
      </w:r>
    </w:p>
    <w:p w:rsidR="0000082D" w:rsidRPr="0000082D" w:rsidRDefault="006A53B6" w:rsidP="0000082D">
      <w:pPr>
        <w:pStyle w:val="Normal861f8d48"/>
        <w:spacing w:line="312" w:lineRule="auto"/>
        <w:ind w:leftChars="30" w:left="63" w:firstLineChars="200" w:firstLine="480"/>
        <w:rPr>
          <w:rFonts w:eastAsia="宋体" w:cs="Times New Roman"/>
          <w:sz w:val="24"/>
          <w:szCs w:val="24"/>
        </w:rPr>
      </w:pPr>
    </w:p>
    <w:p w:rsidR="0020457C" w:rsidRPr="0000082D" w:rsidRDefault="006A53B6" w:rsidP="0000082D">
      <w:pPr>
        <w:pStyle w:val="Normal861f8d48"/>
        <w:spacing w:line="312" w:lineRule="auto"/>
        <w:ind w:leftChars="30" w:left="63" w:firstLineChars="200" w:firstLine="480"/>
        <w:rPr>
          <w:rFonts w:eastAsia="宋体" w:cs="Times New Roman"/>
          <w:sz w:val="24"/>
          <w:szCs w:val="24"/>
        </w:rPr>
      </w:pPr>
      <w:r w:rsidRPr="0000082D">
        <w:rPr>
          <w:rFonts w:eastAsia="宋体" w:cs="Times New Roman"/>
          <w:sz w:val="24"/>
          <w:szCs w:val="24"/>
        </w:rPr>
        <w:t>上述</w:t>
      </w:r>
      <w:r w:rsidRPr="0000082D">
        <w:rPr>
          <w:rFonts w:eastAsia="宋体" w:cs="Times New Roman" w:hint="eastAsia"/>
          <w:sz w:val="24"/>
          <w:szCs w:val="24"/>
        </w:rPr>
        <w:t>理财产品流动性风险应对措施</w:t>
      </w:r>
      <w:r w:rsidRPr="0000082D">
        <w:rPr>
          <w:rFonts w:eastAsia="宋体" w:cs="Times New Roman"/>
          <w:sz w:val="24"/>
          <w:szCs w:val="24"/>
        </w:rPr>
        <w:t>可能</w:t>
      </w:r>
      <w:r w:rsidRPr="0000082D">
        <w:rPr>
          <w:rFonts w:eastAsia="宋体" w:cs="Times New Roman" w:hint="eastAsia"/>
          <w:sz w:val="24"/>
          <w:szCs w:val="24"/>
        </w:rPr>
        <w:t>导致无法满足投资者对产品的部分或全部认（申）购或赎回需求，进而</w:t>
      </w:r>
      <w:r w:rsidRPr="0000082D">
        <w:rPr>
          <w:rFonts w:eastAsia="宋体" w:cs="Times New Roman"/>
          <w:sz w:val="24"/>
          <w:szCs w:val="24"/>
        </w:rPr>
        <w:t>影响投资者的资金流动性安排。</w:t>
      </w:r>
      <w:r w:rsidRPr="00581E58">
        <w:rPr>
          <w:rFonts w:eastAsia="宋体" w:cs="Times New Roman" w:hint="eastAsia"/>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20457C" w:rsidRPr="0020457C" w:rsidRDefault="006A53B6" w:rsidP="003522B0">
      <w:pPr>
        <w:pStyle w:val="Normal861f8d48"/>
        <w:spacing w:line="312" w:lineRule="auto"/>
        <w:ind w:leftChars="30" w:left="63" w:firstLineChars="200" w:firstLine="482"/>
        <w:rPr>
          <w:rFonts w:eastAsia="宋体" w:cs="Times New Roman"/>
          <w:b/>
          <w:sz w:val="24"/>
          <w:szCs w:val="24"/>
        </w:rPr>
      </w:pPr>
      <w:r w:rsidRPr="0020457C">
        <w:rPr>
          <w:rFonts w:eastAsia="宋体" w:cs="Times New Roman" w:hint="eastAsia"/>
          <w:b/>
          <w:sz w:val="24"/>
          <w:szCs w:val="24"/>
        </w:rPr>
        <w:t>5</w:t>
      </w:r>
      <w:r w:rsidRPr="0020457C">
        <w:rPr>
          <w:rFonts w:eastAsia="宋体" w:cs="Times New Roman" w:hint="eastAsia"/>
          <w:b/>
          <w:sz w:val="24"/>
          <w:szCs w:val="24"/>
        </w:rPr>
        <w:t>、提前终止风险：</w:t>
      </w:r>
      <w:r w:rsidRPr="0020457C">
        <w:rPr>
          <w:rFonts w:eastAsia="宋体" w:cs="Times New Roman" w:hint="eastAsia"/>
          <w:sz w:val="24"/>
          <w:szCs w:val="24"/>
        </w:rPr>
        <w:t>在理财产品存续期内，宁银理财有权在特定情况下提前终止理财产品，一旦产品被提前终止，您可能面临不能继续持有产品的风险。</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Pr>
          <w:rFonts w:eastAsia="宋体" w:cs="Times New Roman"/>
          <w:b/>
          <w:sz w:val="24"/>
          <w:szCs w:val="24"/>
        </w:rPr>
        <w:t>6</w:t>
      </w:r>
      <w:r w:rsidRPr="0020457C">
        <w:rPr>
          <w:rFonts w:eastAsia="宋体" w:cs="Times New Roman" w:hint="eastAsia"/>
          <w:b/>
          <w:sz w:val="24"/>
          <w:szCs w:val="24"/>
        </w:rPr>
        <w:t>、延期风险：</w:t>
      </w:r>
      <w:r w:rsidRPr="0020457C">
        <w:rPr>
          <w:rFonts w:eastAsia="宋体" w:cs="Times New Roman" w:hint="eastAsia"/>
          <w:sz w:val="24"/>
          <w:szCs w:val="24"/>
        </w:rPr>
        <w:t>理财产品到期或您决定赎回本产品时，若出现所投资产无法顺利变现、市场发生重大变动或其他宁银理财认为需要延期支付的情形时，本产品将面临无法按时支付相关款项的风险。</w:t>
      </w:r>
    </w:p>
    <w:p w:rsidR="003522B0" w:rsidRPr="0020457C" w:rsidRDefault="006A53B6" w:rsidP="0020457C">
      <w:pPr>
        <w:pStyle w:val="Normal861f8d48"/>
        <w:spacing w:line="312" w:lineRule="auto"/>
        <w:ind w:leftChars="30" w:left="63" w:firstLineChars="200" w:firstLine="482"/>
        <w:rPr>
          <w:rFonts w:eastAsia="宋体" w:cs="Times New Roman"/>
          <w:b/>
          <w:sz w:val="24"/>
          <w:szCs w:val="24"/>
        </w:rPr>
      </w:pPr>
      <w:r>
        <w:rPr>
          <w:rFonts w:eastAsia="宋体" w:cs="Times New Roman"/>
          <w:b/>
          <w:sz w:val="24"/>
          <w:szCs w:val="24"/>
        </w:rPr>
        <w:t>7</w:t>
      </w:r>
      <w:r w:rsidRPr="0020457C">
        <w:rPr>
          <w:rFonts w:eastAsia="宋体" w:cs="Times New Roman" w:hint="eastAsia"/>
          <w:b/>
          <w:sz w:val="24"/>
          <w:szCs w:val="24"/>
        </w:rPr>
        <w:t>、政策风险：</w:t>
      </w:r>
      <w:r w:rsidRPr="0020457C">
        <w:rPr>
          <w:rFonts w:eastAsia="宋体" w:cs="Times New Roman" w:hint="eastAsia"/>
          <w:sz w:val="24"/>
          <w:szCs w:val="24"/>
        </w:rPr>
        <w:t>理财产品在运作过</w:t>
      </w:r>
      <w:r w:rsidRPr="0020457C">
        <w:rPr>
          <w:rFonts w:eastAsia="宋体" w:cs="Times New Roman" w:hint="eastAsia"/>
          <w:sz w:val="24"/>
          <w:szCs w:val="24"/>
        </w:rPr>
        <w:t>程中，由于国家宏观政策以及市场相关法律法规、监管规定发生变化，导致产品的发行、投资、兑付等流程受到影响，进而影响产品的投资运作和收益的风险。</w:t>
      </w:r>
    </w:p>
    <w:p w:rsidR="0020457C" w:rsidRPr="0020457C" w:rsidRDefault="006A53B6" w:rsidP="00891442">
      <w:pPr>
        <w:pStyle w:val="Normal861f8d48"/>
        <w:spacing w:line="312" w:lineRule="auto"/>
        <w:ind w:leftChars="30" w:left="63" w:firstLineChars="200" w:firstLine="482"/>
        <w:rPr>
          <w:rFonts w:eastAsia="宋体" w:cs="Times New Roman"/>
          <w:b/>
          <w:color w:val="000000"/>
          <w:sz w:val="24"/>
          <w:szCs w:val="24"/>
        </w:rPr>
      </w:pPr>
      <w:r>
        <w:rPr>
          <w:rFonts w:eastAsia="宋体" w:cs="Times New Roman"/>
          <w:b/>
          <w:color w:val="000000"/>
          <w:sz w:val="24"/>
          <w:szCs w:val="24"/>
        </w:rPr>
        <w:t>8</w:t>
      </w:r>
      <w:r w:rsidRPr="0020457C">
        <w:rPr>
          <w:rFonts w:eastAsia="宋体" w:cs="Times New Roman" w:hint="eastAsia"/>
          <w:b/>
          <w:color w:val="000000"/>
          <w:sz w:val="24"/>
          <w:szCs w:val="24"/>
        </w:rPr>
        <w:t>、信息传递风险：</w:t>
      </w:r>
    </w:p>
    <w:p w:rsidR="0020457C" w:rsidRPr="0020457C" w:rsidRDefault="006A53B6" w:rsidP="0020457C">
      <w:pPr>
        <w:pStyle w:val="Normal861f8d48"/>
        <w:spacing w:line="312" w:lineRule="auto"/>
        <w:ind w:firstLine="420"/>
        <w:rPr>
          <w:rFonts w:eastAsia="宋体" w:cs="Times New Roman"/>
          <w:b/>
          <w:color w:val="000000"/>
          <w:sz w:val="24"/>
          <w:szCs w:val="24"/>
        </w:rPr>
      </w:pPr>
      <w:r w:rsidRPr="0020457C">
        <w:rPr>
          <w:rFonts w:eastAsia="宋体" w:cs="Times New Roman" w:hint="eastAsia"/>
          <w:color w:val="000000"/>
          <w:sz w:val="24"/>
          <w:szCs w:val="24"/>
        </w:rPr>
        <w:t>宁银理财将于理财产品募集期间、存续期间和终止时，通过本公司</w:t>
      </w:r>
      <w:r>
        <w:rPr>
          <w:rFonts w:eastAsia="宋体" w:cs="Times New Roman" w:hint="eastAsia"/>
          <w:color w:val="000000"/>
          <w:sz w:val="24"/>
          <w:szCs w:val="24"/>
        </w:rPr>
        <w:t>官网</w:t>
      </w:r>
      <w:r w:rsidRPr="0020457C">
        <w:rPr>
          <w:rFonts w:eastAsia="宋体" w:cs="Times New Roman" w:hint="eastAsia"/>
          <w:color w:val="000000"/>
          <w:sz w:val="24"/>
          <w:szCs w:val="24"/>
        </w:rPr>
        <w:t>（</w:t>
      </w:r>
      <w:r w:rsidRPr="0020457C">
        <w:rPr>
          <w:rFonts w:eastAsia="宋体" w:cs="Times New Roman"/>
          <w:color w:val="000000"/>
          <w:sz w:val="24"/>
          <w:szCs w:val="24"/>
        </w:rPr>
        <w:t>www.wmbnb.com</w:t>
      </w:r>
      <w:r w:rsidRPr="0020457C">
        <w:rPr>
          <w:rFonts w:eastAsia="宋体" w:cs="Times New Roman" w:hint="eastAsia"/>
          <w:color w:val="000000"/>
          <w:sz w:val="24"/>
          <w:szCs w:val="24"/>
        </w:rPr>
        <w:t>）、相关理财代理销售机构官方渠道或</w:t>
      </w:r>
      <w:r w:rsidRPr="0020457C">
        <w:rPr>
          <w:rFonts w:eastAsia="宋体" w:cs="Times New Roman" w:hint="eastAsia"/>
          <w:color w:val="000000"/>
          <w:sz w:val="24"/>
          <w:szCs w:val="24"/>
        </w:rPr>
        <w:t>其他</w:t>
      </w:r>
      <w:r w:rsidRPr="0020457C">
        <w:rPr>
          <w:rFonts w:eastAsia="宋体" w:cs="Times New Roman" w:hint="eastAsia"/>
          <w:color w:val="000000"/>
          <w:sz w:val="24"/>
          <w:szCs w:val="24"/>
        </w:rPr>
        <w:t>适当的方式进行信息披露（具体产品的信息披露方式、频率等规则见《理财产品说明书》）。宁银理财或</w:t>
      </w:r>
      <w:r w:rsidRPr="0020457C">
        <w:rPr>
          <w:rFonts w:eastAsia="宋体" w:cs="Times New Roman"/>
          <w:color w:val="000000"/>
          <w:sz w:val="24"/>
          <w:szCs w:val="24"/>
        </w:rPr>
        <w:t>代理销售机构通过</w:t>
      </w:r>
      <w:r w:rsidRPr="0020457C">
        <w:rPr>
          <w:rFonts w:eastAsia="宋体" w:cs="Times New Roman" w:hint="eastAsia"/>
          <w:color w:val="000000"/>
          <w:sz w:val="24"/>
          <w:szCs w:val="24"/>
        </w:rPr>
        <w:t>理财产品销售</w:t>
      </w:r>
      <w:r w:rsidRPr="0020457C">
        <w:rPr>
          <w:rFonts w:eastAsia="宋体" w:cs="Times New Roman"/>
          <w:color w:val="000000"/>
          <w:sz w:val="24"/>
          <w:szCs w:val="24"/>
        </w:rPr>
        <w:t>文件约定方式披露信息后，</w:t>
      </w:r>
      <w:r w:rsidRPr="0020457C">
        <w:rPr>
          <w:rFonts w:eastAsia="宋体" w:cs="Times New Roman" w:hint="eastAsia"/>
          <w:color w:val="000000"/>
          <w:sz w:val="24"/>
          <w:szCs w:val="24"/>
        </w:rPr>
        <w:t>视为本公司已</w:t>
      </w:r>
      <w:r w:rsidRPr="0020457C">
        <w:rPr>
          <w:rFonts w:eastAsia="宋体" w:cs="Times New Roman"/>
          <w:color w:val="000000"/>
          <w:sz w:val="24"/>
          <w:szCs w:val="24"/>
        </w:rPr>
        <w:t>向</w:t>
      </w:r>
      <w:r w:rsidRPr="0020457C">
        <w:rPr>
          <w:rFonts w:eastAsia="宋体" w:cs="Times New Roman" w:hint="eastAsia"/>
          <w:color w:val="000000"/>
          <w:sz w:val="24"/>
          <w:szCs w:val="24"/>
        </w:rPr>
        <w:t>您</w:t>
      </w:r>
      <w:r w:rsidRPr="0020457C">
        <w:rPr>
          <w:rFonts w:eastAsia="宋体" w:cs="Times New Roman"/>
          <w:color w:val="000000"/>
          <w:sz w:val="24"/>
          <w:szCs w:val="24"/>
        </w:rPr>
        <w:t>完全履行信息披露义务</w:t>
      </w:r>
      <w:r w:rsidRPr="0020457C">
        <w:rPr>
          <w:rFonts w:eastAsia="宋体" w:cs="Times New Roman" w:hint="eastAsia"/>
          <w:color w:val="000000"/>
          <w:sz w:val="24"/>
          <w:szCs w:val="24"/>
        </w:rPr>
        <w:t>，您可依据理财产品销售文件的约定，及时登录本</w:t>
      </w:r>
      <w:r w:rsidRPr="0020457C">
        <w:rPr>
          <w:rFonts w:eastAsia="宋体" w:cs="Times New Roman"/>
          <w:color w:val="000000"/>
          <w:sz w:val="24"/>
          <w:szCs w:val="24"/>
        </w:rPr>
        <w:t>公司</w:t>
      </w:r>
      <w:r w:rsidRPr="0020457C">
        <w:rPr>
          <w:rFonts w:eastAsia="宋体" w:cs="Times New Roman"/>
          <w:color w:val="000000"/>
          <w:sz w:val="24"/>
          <w:szCs w:val="24"/>
        </w:rPr>
        <w:t>/</w:t>
      </w:r>
      <w:r w:rsidRPr="0020457C">
        <w:rPr>
          <w:rFonts w:eastAsia="宋体" w:cs="Times New Roman"/>
          <w:color w:val="000000"/>
          <w:sz w:val="24"/>
          <w:szCs w:val="24"/>
        </w:rPr>
        <w:t>代理销售机构</w:t>
      </w:r>
      <w:r w:rsidRPr="0020457C">
        <w:rPr>
          <w:rFonts w:eastAsia="宋体" w:cs="Times New Roman" w:hint="eastAsia"/>
          <w:color w:val="000000"/>
          <w:sz w:val="24"/>
          <w:szCs w:val="24"/>
        </w:rPr>
        <w:t>网站或</w:t>
      </w:r>
      <w:r w:rsidRPr="0020457C">
        <w:rPr>
          <w:rFonts w:eastAsia="宋体" w:cs="Times New Roman"/>
          <w:color w:val="000000"/>
          <w:sz w:val="24"/>
          <w:szCs w:val="24"/>
        </w:rPr>
        <w:t>致电</w:t>
      </w:r>
      <w:r w:rsidRPr="0020457C">
        <w:rPr>
          <w:rFonts w:eastAsia="宋体" w:cs="Times New Roman" w:hint="eastAsia"/>
          <w:color w:val="000000"/>
          <w:sz w:val="24"/>
          <w:szCs w:val="24"/>
        </w:rPr>
        <w:t>本</w:t>
      </w:r>
      <w:r w:rsidRPr="0020457C">
        <w:rPr>
          <w:rFonts w:eastAsia="宋体" w:cs="Times New Roman"/>
          <w:color w:val="000000"/>
          <w:sz w:val="24"/>
          <w:szCs w:val="24"/>
        </w:rPr>
        <w:t>公司</w:t>
      </w:r>
      <w:r w:rsidRPr="0020457C">
        <w:rPr>
          <w:rFonts w:eastAsia="宋体" w:cs="Times New Roman"/>
          <w:color w:val="000000"/>
          <w:sz w:val="24"/>
          <w:szCs w:val="24"/>
        </w:rPr>
        <w:t>/</w:t>
      </w:r>
      <w:r w:rsidRPr="0020457C">
        <w:rPr>
          <w:rFonts w:eastAsia="宋体" w:cs="Times New Roman"/>
          <w:color w:val="000000"/>
          <w:sz w:val="24"/>
          <w:szCs w:val="24"/>
        </w:rPr>
        <w:t>代理销售机构</w:t>
      </w:r>
      <w:r w:rsidRPr="0020457C">
        <w:rPr>
          <w:rFonts w:eastAsia="宋体" w:cs="Times New Roman" w:hint="eastAsia"/>
          <w:color w:val="000000"/>
          <w:sz w:val="24"/>
          <w:szCs w:val="24"/>
        </w:rPr>
        <w:t>客户服务</w:t>
      </w:r>
      <w:r w:rsidRPr="0020457C">
        <w:rPr>
          <w:rFonts w:eastAsia="宋体" w:cs="Times New Roman"/>
          <w:color w:val="000000"/>
          <w:sz w:val="24"/>
          <w:szCs w:val="24"/>
        </w:rPr>
        <w:t>热线（</w:t>
      </w:r>
      <w:r w:rsidRPr="00632CF7">
        <w:rPr>
          <w:rFonts w:eastAsia="宋体" w:cs="Times New Roman" w:hint="eastAsia"/>
          <w:color w:val="000000"/>
          <w:sz w:val="24"/>
          <w:szCs w:val="24"/>
        </w:rPr>
        <w:t>宁银理财：</w:t>
      </w:r>
      <w:r w:rsidRPr="00441D3E">
        <w:rPr>
          <w:rFonts w:eastAsia="宋体" w:cs="Times New Roman"/>
          <w:color w:val="000000"/>
          <w:sz w:val="24"/>
          <w:szCs w:val="24"/>
        </w:rPr>
        <w:t>400-099-5574</w:t>
      </w:r>
      <w:r w:rsidRPr="00632CF7">
        <w:rPr>
          <w:rFonts w:eastAsia="宋体" w:cs="Times New Roman" w:hint="eastAsia"/>
          <w:color w:val="000000"/>
          <w:sz w:val="24"/>
          <w:szCs w:val="24"/>
        </w:rPr>
        <w:t>；</w:t>
      </w:r>
      <w:r w:rsidRPr="00235076">
        <w:rPr>
          <w:rFonts w:eastAsia="宋体" w:cs="Times New Roman" w:hint="eastAsia"/>
          <w:color w:val="000000"/>
          <w:sz w:val="24"/>
          <w:szCs w:val="24"/>
        </w:rPr>
        <w:t>代理销售机构详见《理财产品说明书》</w:t>
      </w:r>
      <w:r w:rsidRPr="0020457C">
        <w:rPr>
          <w:rFonts w:eastAsia="宋体" w:cs="Times New Roman"/>
          <w:color w:val="000000"/>
          <w:sz w:val="24"/>
          <w:szCs w:val="24"/>
        </w:rPr>
        <w:t>）</w:t>
      </w:r>
      <w:r w:rsidRPr="0020457C">
        <w:rPr>
          <w:rFonts w:eastAsia="宋体" w:cs="Times New Roman" w:hint="eastAsia"/>
          <w:color w:val="000000"/>
          <w:sz w:val="24"/>
          <w:szCs w:val="24"/>
        </w:rPr>
        <w:t>查询。如因您未及时查询，或因通讯、系统故障或其他不可抗力等因素的影响，致使您无法及时了解理财产品信息，所产生的责任和风险将由</w:t>
      </w:r>
      <w:r w:rsidRPr="0020457C">
        <w:rPr>
          <w:rFonts w:eastAsia="宋体" w:cs="Times New Roman"/>
          <w:color w:val="000000"/>
          <w:sz w:val="24"/>
          <w:szCs w:val="24"/>
        </w:rPr>
        <w:t>您</w:t>
      </w:r>
      <w:r w:rsidRPr="0020457C">
        <w:rPr>
          <w:rFonts w:eastAsia="宋体" w:cs="Times New Roman" w:hint="eastAsia"/>
          <w:color w:val="000000"/>
          <w:sz w:val="24"/>
          <w:szCs w:val="24"/>
        </w:rPr>
        <w:t>自行承担。</w:t>
      </w:r>
    </w:p>
    <w:p w:rsidR="0020457C" w:rsidRPr="0020457C" w:rsidRDefault="006A53B6" w:rsidP="0020457C">
      <w:pPr>
        <w:pStyle w:val="Normal861f8d48"/>
        <w:spacing w:line="312" w:lineRule="auto"/>
        <w:ind w:leftChars="30" w:left="63" w:firstLineChars="200" w:firstLine="480"/>
        <w:rPr>
          <w:rFonts w:eastAsia="宋体" w:cs="Times New Roman"/>
          <w:b/>
          <w:sz w:val="24"/>
          <w:szCs w:val="24"/>
        </w:rPr>
      </w:pPr>
      <w:r w:rsidRPr="0020457C">
        <w:rPr>
          <w:rFonts w:eastAsia="宋体" w:cs="Times New Roman" w:hint="eastAsia"/>
          <w:sz w:val="24"/>
          <w:szCs w:val="24"/>
        </w:rPr>
        <w:t>您预留在</w:t>
      </w:r>
      <w:r w:rsidRPr="0020457C">
        <w:rPr>
          <w:rFonts w:eastAsia="宋体" w:cs="Times New Roman"/>
          <w:sz w:val="24"/>
          <w:szCs w:val="24"/>
        </w:rPr>
        <w:t>公司</w:t>
      </w:r>
      <w:r w:rsidRPr="0020457C">
        <w:rPr>
          <w:rFonts w:eastAsia="宋体" w:cs="Times New Roman" w:hint="eastAsia"/>
          <w:sz w:val="24"/>
          <w:szCs w:val="24"/>
        </w:rPr>
        <w:t>或代理销售机构的有效联系方式若发生变更，应及时通知</w:t>
      </w:r>
      <w:r w:rsidRPr="0020457C">
        <w:rPr>
          <w:rFonts w:eastAsia="宋体" w:cs="Times New Roman"/>
          <w:sz w:val="24"/>
          <w:szCs w:val="24"/>
        </w:rPr>
        <w:t>公司</w:t>
      </w:r>
      <w:r w:rsidRPr="0020457C">
        <w:rPr>
          <w:rFonts w:eastAsia="宋体" w:cs="Times New Roman" w:hint="eastAsia"/>
          <w:sz w:val="24"/>
          <w:szCs w:val="24"/>
        </w:rPr>
        <w:t>或代理销售机构，如因您未及时告知，导致公司或代理销售机构无法及时联系您，由此产生的责任和风险将由</w:t>
      </w:r>
      <w:r w:rsidRPr="0020457C">
        <w:rPr>
          <w:rFonts w:eastAsia="宋体" w:cs="Times New Roman"/>
          <w:sz w:val="24"/>
          <w:szCs w:val="24"/>
        </w:rPr>
        <w:t>您</w:t>
      </w:r>
      <w:r w:rsidRPr="0020457C">
        <w:rPr>
          <w:rFonts w:eastAsia="宋体" w:cs="Times New Roman" w:hint="eastAsia"/>
          <w:sz w:val="24"/>
          <w:szCs w:val="24"/>
        </w:rPr>
        <w:t>自行承担。</w:t>
      </w:r>
    </w:p>
    <w:p w:rsidR="0020457C" w:rsidRPr="0020457C" w:rsidRDefault="006A53B6" w:rsidP="0020457C">
      <w:pPr>
        <w:pStyle w:val="Normal861f8d48"/>
        <w:spacing w:line="312" w:lineRule="auto"/>
        <w:ind w:leftChars="30" w:left="63" w:firstLineChars="200" w:firstLine="482"/>
        <w:rPr>
          <w:rFonts w:eastAsia="宋体" w:cs="Courier New"/>
          <w:bCs/>
          <w:sz w:val="24"/>
          <w:szCs w:val="24"/>
        </w:rPr>
      </w:pPr>
      <w:r>
        <w:rPr>
          <w:rFonts w:eastAsia="宋体" w:cs="Courier New"/>
          <w:b/>
          <w:bCs/>
          <w:sz w:val="24"/>
          <w:szCs w:val="24"/>
        </w:rPr>
        <w:t>9</w:t>
      </w:r>
      <w:r w:rsidRPr="0020457C">
        <w:rPr>
          <w:rFonts w:eastAsia="宋体" w:cs="Courier New" w:hint="eastAsia"/>
          <w:b/>
          <w:bCs/>
          <w:sz w:val="24"/>
          <w:szCs w:val="24"/>
        </w:rPr>
        <w:t>、汇率风险：</w:t>
      </w:r>
      <w:r w:rsidRPr="0020457C">
        <w:rPr>
          <w:rFonts w:eastAsia="宋体" w:cs="Courier New" w:hint="eastAsia"/>
          <w:bCs/>
          <w:sz w:val="24"/>
          <w:szCs w:val="24"/>
        </w:rPr>
        <w:t>当理财产品的投资涉及非本国货币时，存在汇率波动带来的风险。</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sidRPr="0020457C">
        <w:rPr>
          <w:rFonts w:eastAsia="宋体" w:cs="Times New Roman" w:hint="eastAsia"/>
          <w:b/>
          <w:sz w:val="24"/>
          <w:szCs w:val="24"/>
        </w:rPr>
        <w:t>1</w:t>
      </w:r>
      <w:r>
        <w:rPr>
          <w:rFonts w:eastAsia="宋体" w:cs="Times New Roman"/>
          <w:b/>
          <w:sz w:val="24"/>
          <w:szCs w:val="24"/>
        </w:rPr>
        <w:t>0</w:t>
      </w:r>
      <w:r w:rsidRPr="0020457C">
        <w:rPr>
          <w:rFonts w:eastAsia="宋体" w:cs="Times New Roman" w:hint="eastAsia"/>
          <w:b/>
          <w:sz w:val="24"/>
          <w:szCs w:val="24"/>
        </w:rPr>
        <w:t>、不可抗力风险及意外事件风险：</w:t>
      </w:r>
      <w:r w:rsidRPr="0020457C">
        <w:rPr>
          <w:rFonts w:eastAsia="宋体" w:cs="Times New Roman" w:hint="eastAsia"/>
          <w:sz w:val="24"/>
          <w:szCs w:val="24"/>
        </w:rPr>
        <w:t>战争、自然灾害、重大政治事件等不可</w:t>
      </w:r>
      <w:r w:rsidRPr="0020457C">
        <w:rPr>
          <w:rFonts w:eastAsia="宋体" w:cs="Times New Roman" w:hint="eastAsia"/>
          <w:sz w:val="24"/>
          <w:szCs w:val="24"/>
        </w:rPr>
        <w:lastRenderedPageBreak/>
        <w:t>抗力因素或非宁银理财原因的系统故障、投资市场停止交易等意外事件，可能严重影响理财产品的正常运作，影响理财</w:t>
      </w:r>
      <w:r w:rsidRPr="0020457C">
        <w:rPr>
          <w:rFonts w:eastAsia="宋体" w:cs="Times New Roman"/>
          <w:sz w:val="24"/>
          <w:szCs w:val="24"/>
        </w:rPr>
        <w:t>产品投资业绩</w:t>
      </w:r>
      <w:r w:rsidRPr="0020457C">
        <w:rPr>
          <w:rFonts w:eastAsia="宋体" w:cs="Times New Roman" w:hint="eastAsia"/>
          <w:sz w:val="24"/>
          <w:szCs w:val="24"/>
        </w:rPr>
        <w:t>。</w:t>
      </w:r>
    </w:p>
    <w:p w:rsidR="0020457C" w:rsidRPr="0020457C" w:rsidRDefault="006A53B6" w:rsidP="0020457C">
      <w:pPr>
        <w:pStyle w:val="Normal861f8d48"/>
        <w:spacing w:line="312" w:lineRule="auto"/>
        <w:ind w:firstLineChars="200" w:firstLine="482"/>
        <w:rPr>
          <w:rFonts w:eastAsia="宋体" w:cs="Times New Roman"/>
          <w:b/>
          <w:sz w:val="24"/>
          <w:szCs w:val="24"/>
        </w:rPr>
      </w:pPr>
      <w:r w:rsidRPr="0020457C">
        <w:rPr>
          <w:rFonts w:eastAsia="宋体" w:cs="Times New Roman" w:hint="eastAsia"/>
          <w:b/>
          <w:sz w:val="24"/>
          <w:szCs w:val="24"/>
        </w:rPr>
        <w:t>上述风险发生时，您的本金及收益可能遭受损失，在最不利情况下，您将损失全部的本金及收益，由此产生的风险及损失将由</w:t>
      </w:r>
      <w:r w:rsidRPr="0020457C">
        <w:rPr>
          <w:rFonts w:eastAsia="宋体" w:cs="Times New Roman"/>
          <w:b/>
          <w:sz w:val="24"/>
          <w:szCs w:val="24"/>
        </w:rPr>
        <w:t>您</w:t>
      </w:r>
      <w:r w:rsidRPr="0020457C">
        <w:rPr>
          <w:rFonts w:eastAsia="宋体" w:cs="Times New Roman" w:hint="eastAsia"/>
          <w:b/>
          <w:sz w:val="24"/>
          <w:szCs w:val="24"/>
        </w:rPr>
        <w:t>自行承担。</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根据现行法律法规对于理财</w:t>
      </w:r>
      <w:r w:rsidRPr="0020457C">
        <w:rPr>
          <w:rFonts w:eastAsia="宋体" w:cs="Times New Roman"/>
          <w:sz w:val="24"/>
          <w:szCs w:val="24"/>
        </w:rPr>
        <w:t>产品的分类</w:t>
      </w:r>
      <w:r w:rsidRPr="0020457C">
        <w:rPr>
          <w:rFonts w:eastAsia="宋体" w:cs="Times New Roman" w:hint="eastAsia"/>
          <w:sz w:val="24"/>
          <w:szCs w:val="24"/>
        </w:rPr>
        <w:t>，您还需要了解以下信息：</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sidRPr="0020457C">
        <w:rPr>
          <w:rFonts w:eastAsia="宋体" w:cs="Times New Roman"/>
          <w:b/>
          <w:sz w:val="24"/>
          <w:szCs w:val="24"/>
        </w:rPr>
        <w:t>1</w:t>
      </w:r>
      <w:r w:rsidRPr="0020457C">
        <w:rPr>
          <w:rFonts w:eastAsia="宋体" w:cs="Times New Roman"/>
          <w:b/>
          <w:sz w:val="24"/>
          <w:szCs w:val="24"/>
        </w:rPr>
        <w:t>、</w:t>
      </w:r>
      <w:r w:rsidRPr="0020457C">
        <w:rPr>
          <w:rFonts w:eastAsia="宋体" w:cs="Times New Roman" w:hint="eastAsia"/>
          <w:b/>
          <w:sz w:val="24"/>
          <w:szCs w:val="24"/>
        </w:rPr>
        <w:t>根据募集方式的不同，理财产品分为公募理财产品和私募理财产品。</w:t>
      </w:r>
      <w:r w:rsidRPr="0020457C">
        <w:rPr>
          <w:rFonts w:eastAsia="宋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（一）具有</w:t>
      </w:r>
      <w:r w:rsidRPr="0020457C">
        <w:rPr>
          <w:rFonts w:eastAsia="宋体" w:cs="Times New Roman" w:hint="eastAsia"/>
          <w:sz w:val="24"/>
          <w:szCs w:val="24"/>
        </w:rPr>
        <w:t>2</w:t>
      </w:r>
      <w:r w:rsidRPr="0020457C">
        <w:rPr>
          <w:rFonts w:eastAsia="宋体" w:cs="Times New Roman" w:hint="eastAsia"/>
          <w:sz w:val="24"/>
          <w:szCs w:val="24"/>
        </w:rPr>
        <w:t>年以上投资经历，且满足家庭金融净资产不低于</w:t>
      </w:r>
      <w:r w:rsidRPr="0020457C">
        <w:rPr>
          <w:rFonts w:eastAsia="宋体" w:cs="Times New Roman" w:hint="eastAsia"/>
          <w:sz w:val="24"/>
          <w:szCs w:val="24"/>
        </w:rPr>
        <w:t>300</w:t>
      </w:r>
      <w:r w:rsidRPr="0020457C">
        <w:rPr>
          <w:rFonts w:eastAsia="宋体" w:cs="Times New Roman" w:hint="eastAsia"/>
          <w:sz w:val="24"/>
          <w:szCs w:val="24"/>
        </w:rPr>
        <w:t>万元人民币，或者家庭金融资产不低于</w:t>
      </w:r>
      <w:r w:rsidRPr="0020457C">
        <w:rPr>
          <w:rFonts w:eastAsia="宋体" w:cs="Times New Roman" w:hint="eastAsia"/>
          <w:sz w:val="24"/>
          <w:szCs w:val="24"/>
        </w:rPr>
        <w:t>500</w:t>
      </w:r>
      <w:r w:rsidRPr="0020457C">
        <w:rPr>
          <w:rFonts w:eastAsia="宋体" w:cs="Times New Roman" w:hint="eastAsia"/>
          <w:sz w:val="24"/>
          <w:szCs w:val="24"/>
        </w:rPr>
        <w:t>万元人民币，或者近</w:t>
      </w:r>
      <w:r w:rsidRPr="0020457C">
        <w:rPr>
          <w:rFonts w:eastAsia="宋体" w:cs="Times New Roman" w:hint="eastAsia"/>
          <w:sz w:val="24"/>
          <w:szCs w:val="24"/>
        </w:rPr>
        <w:t>3</w:t>
      </w:r>
      <w:r w:rsidRPr="0020457C">
        <w:rPr>
          <w:rFonts w:eastAsia="宋体" w:cs="Times New Roman" w:hint="eastAsia"/>
          <w:sz w:val="24"/>
          <w:szCs w:val="24"/>
        </w:rPr>
        <w:t>年本人年均收入不低于</w:t>
      </w:r>
      <w:r w:rsidRPr="0020457C">
        <w:rPr>
          <w:rFonts w:eastAsia="宋体" w:cs="Times New Roman" w:hint="eastAsia"/>
          <w:sz w:val="24"/>
          <w:szCs w:val="24"/>
        </w:rPr>
        <w:t>40</w:t>
      </w:r>
      <w:r w:rsidRPr="0020457C">
        <w:rPr>
          <w:rFonts w:eastAsia="宋体" w:cs="Times New Roman" w:hint="eastAsia"/>
          <w:sz w:val="24"/>
          <w:szCs w:val="24"/>
        </w:rPr>
        <w:t>万元人民币；</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（二）最近</w:t>
      </w:r>
      <w:r w:rsidRPr="0020457C">
        <w:rPr>
          <w:rFonts w:eastAsia="宋体" w:cs="Times New Roman" w:hint="eastAsia"/>
          <w:sz w:val="24"/>
          <w:szCs w:val="24"/>
        </w:rPr>
        <w:t>1</w:t>
      </w:r>
      <w:r w:rsidRPr="0020457C">
        <w:rPr>
          <w:rFonts w:eastAsia="宋体" w:cs="Times New Roman" w:hint="eastAsia"/>
          <w:sz w:val="24"/>
          <w:szCs w:val="24"/>
        </w:rPr>
        <w:t>年末净资产不低于</w:t>
      </w:r>
      <w:r w:rsidRPr="0020457C">
        <w:rPr>
          <w:rFonts w:eastAsia="宋体" w:cs="Times New Roman" w:hint="eastAsia"/>
          <w:sz w:val="24"/>
          <w:szCs w:val="24"/>
        </w:rPr>
        <w:t>1000</w:t>
      </w:r>
      <w:r w:rsidRPr="0020457C">
        <w:rPr>
          <w:rFonts w:eastAsia="宋体" w:cs="Times New Roman" w:hint="eastAsia"/>
          <w:sz w:val="24"/>
          <w:szCs w:val="24"/>
        </w:rPr>
        <w:t>万元人民币的法人或者依法成立</w:t>
      </w:r>
      <w:r w:rsidRPr="0020457C">
        <w:rPr>
          <w:rFonts w:eastAsia="宋体" w:cs="Times New Roman" w:hint="eastAsia"/>
          <w:sz w:val="24"/>
          <w:szCs w:val="24"/>
        </w:rPr>
        <w:t>的其他组织；</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（三）国务院银行业监督管理机构规定的其他情形。</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sidRPr="0020457C">
        <w:rPr>
          <w:rFonts w:eastAsia="宋体" w:cs="Times New Roman"/>
          <w:b/>
          <w:sz w:val="24"/>
          <w:szCs w:val="24"/>
        </w:rPr>
        <w:t>2</w:t>
      </w:r>
      <w:r w:rsidRPr="0020457C">
        <w:rPr>
          <w:rFonts w:eastAsia="宋体" w:cs="Times New Roman"/>
          <w:b/>
          <w:sz w:val="24"/>
          <w:szCs w:val="24"/>
        </w:rPr>
        <w:t>、</w:t>
      </w:r>
      <w:r w:rsidRPr="0020457C">
        <w:rPr>
          <w:rFonts w:eastAsia="宋体" w:cs="Times New Roman" w:hint="eastAsia"/>
          <w:b/>
          <w:sz w:val="24"/>
          <w:szCs w:val="24"/>
        </w:rPr>
        <w:t>根据投资性质的不同，理财产品分为固定收益类理财产品、权益类理财产品、商品及金融衍生品类理财产品和混合类理财产品。</w:t>
      </w:r>
      <w:r w:rsidRPr="0020457C">
        <w:rPr>
          <w:rFonts w:eastAsia="宋体" w:cs="Times New Roman" w:hint="eastAsia"/>
          <w:sz w:val="24"/>
          <w:szCs w:val="24"/>
        </w:rPr>
        <w:t>固定收益类理财产品投资于存款、债券等债权类资产的比例不低于</w:t>
      </w:r>
      <w:r w:rsidRPr="0020457C">
        <w:rPr>
          <w:rFonts w:eastAsia="宋体" w:cs="Times New Roman"/>
          <w:sz w:val="24"/>
          <w:szCs w:val="24"/>
        </w:rPr>
        <w:t>80%</w:t>
      </w:r>
      <w:r w:rsidRPr="0020457C">
        <w:rPr>
          <w:rFonts w:eastAsia="宋体" w:cs="Times New Roman"/>
          <w:sz w:val="24"/>
          <w:szCs w:val="24"/>
        </w:rPr>
        <w:t>；权益类理财产品投资于权益类资产的比例不低于</w:t>
      </w:r>
      <w:r w:rsidRPr="0020457C">
        <w:rPr>
          <w:rFonts w:eastAsia="宋体" w:cs="Times New Roman"/>
          <w:sz w:val="24"/>
          <w:szCs w:val="24"/>
        </w:rPr>
        <w:t>80%</w:t>
      </w:r>
      <w:r w:rsidRPr="0020457C">
        <w:rPr>
          <w:rFonts w:eastAsia="宋体" w:cs="Times New Roman"/>
          <w:sz w:val="24"/>
          <w:szCs w:val="24"/>
        </w:rPr>
        <w:t>；商品及金融衍生品类理财产品投资于商品及金融衍生品的比例不低于</w:t>
      </w:r>
      <w:r w:rsidRPr="0020457C">
        <w:rPr>
          <w:rFonts w:eastAsia="宋体" w:cs="Times New Roman"/>
          <w:sz w:val="24"/>
          <w:szCs w:val="24"/>
        </w:rPr>
        <w:t>80%</w:t>
      </w:r>
      <w:r w:rsidRPr="0020457C">
        <w:rPr>
          <w:rFonts w:eastAsia="宋体" w:cs="Times New Roman"/>
          <w:sz w:val="24"/>
          <w:szCs w:val="24"/>
        </w:rPr>
        <w:t>；混合类理财产品投资于债权类资产、权益类资产、商品及金融衍生品类资产且任</w:t>
      </w:r>
      <w:r w:rsidRPr="0020457C">
        <w:rPr>
          <w:rFonts w:eastAsia="宋体" w:cs="Times New Roman" w:hint="eastAsia"/>
          <w:sz w:val="24"/>
          <w:szCs w:val="24"/>
        </w:rPr>
        <w:t>一资产的投资比例未达到前三类理财产品标准。</w:t>
      </w:r>
    </w:p>
    <w:p w:rsidR="0020457C" w:rsidRPr="0020457C" w:rsidRDefault="006A53B6" w:rsidP="0020457C">
      <w:pPr>
        <w:pStyle w:val="Normal861f8d48"/>
        <w:spacing w:line="312" w:lineRule="auto"/>
        <w:ind w:leftChars="30" w:left="63" w:firstLineChars="200" w:firstLine="482"/>
        <w:rPr>
          <w:rFonts w:eastAsia="宋体" w:cs="Times New Roman"/>
          <w:sz w:val="24"/>
          <w:szCs w:val="24"/>
        </w:rPr>
      </w:pPr>
      <w:r w:rsidRPr="0020457C">
        <w:rPr>
          <w:rFonts w:eastAsia="宋体" w:cs="Times New Roman"/>
          <w:b/>
          <w:sz w:val="24"/>
          <w:szCs w:val="24"/>
        </w:rPr>
        <w:t>3</w:t>
      </w:r>
      <w:r w:rsidRPr="0020457C">
        <w:rPr>
          <w:rFonts w:eastAsia="宋体" w:cs="Times New Roman"/>
          <w:b/>
          <w:sz w:val="24"/>
          <w:szCs w:val="24"/>
        </w:rPr>
        <w:t>、</w:t>
      </w:r>
      <w:r w:rsidRPr="0020457C">
        <w:rPr>
          <w:rFonts w:eastAsia="宋体" w:cs="Times New Roman" w:hint="eastAsia"/>
          <w:b/>
          <w:sz w:val="24"/>
          <w:szCs w:val="24"/>
        </w:rPr>
        <w:t>根据运作方式的不同，将理财产品分</w:t>
      </w:r>
      <w:r w:rsidRPr="0020457C">
        <w:rPr>
          <w:rFonts w:eastAsia="宋体" w:cs="Times New Roman" w:hint="eastAsia"/>
          <w:b/>
          <w:sz w:val="24"/>
          <w:szCs w:val="24"/>
        </w:rPr>
        <w:t>为封闭式理财产品和开放式理财产品。</w:t>
      </w:r>
      <w:r w:rsidRPr="0020457C">
        <w:rPr>
          <w:rFonts w:eastAsia="宋体" w:cs="Times New Roman" w:hint="eastAsia"/>
          <w:sz w:val="24"/>
          <w:szCs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w:t>
      </w:r>
      <w:r w:rsidRPr="0020457C">
        <w:rPr>
          <w:rFonts w:eastAsia="宋体" w:cs="Times New Roman" w:hint="eastAsia"/>
          <w:sz w:val="24"/>
          <w:szCs w:val="24"/>
        </w:rPr>
        <w:t>的评级结果并予以披露，理财产品评级应</w:t>
      </w:r>
      <w:r w:rsidRPr="0020457C">
        <w:rPr>
          <w:rFonts w:eastAsia="宋体" w:cs="Times New Roman" w:hint="eastAsia"/>
          <w:sz w:val="24"/>
          <w:szCs w:val="24"/>
        </w:rPr>
        <w:lastRenderedPageBreak/>
        <w:t>当以代理销售机构最终披露的评级结果为准。</w:t>
      </w:r>
    </w:p>
    <w:p w:rsidR="0020457C" w:rsidRPr="0020457C" w:rsidRDefault="006A53B6" w:rsidP="0020457C">
      <w:pPr>
        <w:pStyle w:val="Normal861f8d48"/>
        <w:spacing w:line="312" w:lineRule="auto"/>
        <w:ind w:firstLine="420"/>
        <w:rPr>
          <w:rFonts w:eastAsia="宋体" w:cs="Times New Roman"/>
          <w:color w:val="000000"/>
          <w:sz w:val="24"/>
          <w:szCs w:val="24"/>
        </w:rPr>
      </w:pPr>
      <w:r w:rsidRPr="0020457C">
        <w:rPr>
          <w:rFonts w:eastAsia="宋体" w:cs="Times New Roman" w:hint="eastAsia"/>
          <w:color w:val="000000"/>
          <w:sz w:val="24"/>
          <w:szCs w:val="24"/>
        </w:rPr>
        <w:t>本产品为公募固定收益类开放</w:t>
      </w:r>
      <w:r w:rsidRPr="0020457C">
        <w:rPr>
          <w:rFonts w:eastAsia="宋体" w:cs="Times New Roman"/>
          <w:color w:val="000000"/>
          <w:sz w:val="24"/>
          <w:szCs w:val="24"/>
        </w:rPr>
        <w:t>式理财，收益类型为非保本浮动收益</w:t>
      </w:r>
      <w:r w:rsidRPr="0020457C">
        <w:rPr>
          <w:rFonts w:eastAsia="宋体" w:cs="Times New Roman"/>
          <w:color w:val="000000"/>
          <w:sz w:val="24"/>
          <w:szCs w:val="24"/>
        </w:rPr>
        <w:t>,</w:t>
      </w:r>
      <w:r w:rsidRPr="0020457C">
        <w:rPr>
          <w:rFonts w:eastAsia="宋体" w:cs="Times New Roman"/>
          <w:color w:val="000000"/>
          <w:sz w:val="24"/>
          <w:szCs w:val="24"/>
        </w:rPr>
        <w:t>投资期限为</w:t>
      </w:r>
      <w:r w:rsidRPr="0020457C">
        <w:rPr>
          <w:rFonts w:eastAsia="宋体" w:cs="Times New Roman" w:hint="eastAsia"/>
          <w:color w:val="000000"/>
          <w:sz w:val="24"/>
          <w:szCs w:val="24"/>
        </w:rPr>
        <w:t>无固定期限</w:t>
      </w:r>
      <w:r w:rsidRPr="0020457C">
        <w:rPr>
          <w:rFonts w:eastAsia="宋体" w:cs="Times New Roman"/>
          <w:color w:val="000000"/>
          <w:sz w:val="24"/>
          <w:szCs w:val="24"/>
        </w:rPr>
        <w:t>,</w:t>
      </w:r>
      <w:r w:rsidRPr="0020457C">
        <w:rPr>
          <w:rFonts w:eastAsia="宋体" w:cs="Times New Roman" w:hint="eastAsia"/>
          <w:color w:val="000000"/>
          <w:sz w:val="24"/>
          <w:szCs w:val="24"/>
        </w:rPr>
        <w:t>本公司对本产品的</w:t>
      </w:r>
      <w:r w:rsidRPr="0020457C">
        <w:rPr>
          <w:rFonts w:eastAsia="宋体" w:cs="Times New Roman"/>
          <w:color w:val="000000"/>
          <w:sz w:val="24"/>
          <w:szCs w:val="24"/>
        </w:rPr>
        <w:t>产品风险评级为</w:t>
      </w:r>
      <w:r w:rsidRPr="0020457C">
        <w:rPr>
          <w:rFonts w:eastAsia="宋体" w:cs="Times New Roman" w:hint="eastAsia"/>
          <w:color w:val="000000"/>
          <w:sz w:val="24"/>
          <w:szCs w:val="24"/>
        </w:rPr>
        <w:t>PR1</w:t>
      </w:r>
      <w:r w:rsidRPr="0020457C">
        <w:rPr>
          <w:rFonts w:eastAsia="宋体" w:cs="Times New Roman"/>
          <w:color w:val="000000"/>
          <w:sz w:val="24"/>
          <w:szCs w:val="24"/>
        </w:rPr>
        <w:t>,</w:t>
      </w:r>
      <w:r w:rsidRPr="0020457C">
        <w:rPr>
          <w:rFonts w:eastAsia="宋体" w:cs="Times New Roman"/>
          <w:color w:val="000000"/>
          <w:sz w:val="24"/>
          <w:szCs w:val="24"/>
        </w:rPr>
        <w:t>适合</w:t>
      </w:r>
      <w:r w:rsidRPr="0020457C">
        <w:rPr>
          <w:rFonts w:eastAsia="宋体" w:cs="Times New Roman" w:hint="eastAsia"/>
          <w:color w:val="000000"/>
          <w:sz w:val="24"/>
          <w:szCs w:val="24"/>
        </w:rPr>
        <w:t>被本公司评为保守型</w:t>
      </w:r>
      <w:r w:rsidRPr="0020457C">
        <w:rPr>
          <w:rFonts w:eastAsia="宋体" w:cs="Times New Roman"/>
          <w:color w:val="000000"/>
          <w:sz w:val="24"/>
          <w:szCs w:val="24"/>
        </w:rPr>
        <w:t>;</w:t>
      </w:r>
      <w:r w:rsidRPr="0020457C">
        <w:rPr>
          <w:rFonts w:eastAsia="宋体" w:cs="Times New Roman"/>
          <w:color w:val="000000"/>
          <w:sz w:val="24"/>
          <w:szCs w:val="24"/>
        </w:rPr>
        <w:t>稳健型</w:t>
      </w:r>
      <w:r w:rsidRPr="0020457C">
        <w:rPr>
          <w:rFonts w:eastAsia="宋体" w:cs="Times New Roman"/>
          <w:color w:val="000000"/>
          <w:sz w:val="24"/>
          <w:szCs w:val="24"/>
        </w:rPr>
        <w:t>;</w:t>
      </w:r>
      <w:r w:rsidRPr="0020457C">
        <w:rPr>
          <w:rFonts w:eastAsia="宋体" w:cs="Times New Roman"/>
          <w:color w:val="000000"/>
          <w:sz w:val="24"/>
          <w:szCs w:val="24"/>
        </w:rPr>
        <w:t>平衡型</w:t>
      </w:r>
      <w:r w:rsidRPr="0020457C">
        <w:rPr>
          <w:rFonts w:eastAsia="宋体" w:cs="Times New Roman"/>
          <w:color w:val="000000"/>
          <w:sz w:val="24"/>
          <w:szCs w:val="24"/>
        </w:rPr>
        <w:t>;</w:t>
      </w:r>
      <w:r w:rsidRPr="0020457C">
        <w:rPr>
          <w:rFonts w:eastAsia="宋体" w:cs="Times New Roman"/>
          <w:color w:val="000000"/>
          <w:sz w:val="24"/>
          <w:szCs w:val="24"/>
        </w:rPr>
        <w:t>成长型</w:t>
      </w:r>
      <w:r w:rsidRPr="0020457C">
        <w:rPr>
          <w:rFonts w:eastAsia="宋体" w:cs="Times New Roman"/>
          <w:color w:val="000000"/>
          <w:sz w:val="24"/>
          <w:szCs w:val="24"/>
        </w:rPr>
        <w:t>;</w:t>
      </w:r>
      <w:r w:rsidRPr="0020457C">
        <w:rPr>
          <w:rFonts w:eastAsia="宋体" w:cs="Times New Roman"/>
          <w:color w:val="000000"/>
          <w:sz w:val="24"/>
          <w:szCs w:val="24"/>
        </w:rPr>
        <w:t>进取型的</w:t>
      </w:r>
      <w:r w:rsidRPr="0020457C">
        <w:rPr>
          <w:rFonts w:eastAsia="宋体" w:cs="Times New Roman" w:hint="eastAsia"/>
          <w:color w:val="000000"/>
          <w:sz w:val="24"/>
          <w:szCs w:val="24"/>
        </w:rPr>
        <w:t>投资者购买。该产品通过代理销售机构购买的，</w:t>
      </w:r>
      <w:r w:rsidRPr="0020457C">
        <w:rPr>
          <w:rFonts w:eastAsia="宋体" w:cs="Times New Roman"/>
          <w:color w:val="000000"/>
          <w:sz w:val="24"/>
          <w:szCs w:val="24"/>
        </w:rPr>
        <w:t>产品风险评级</w:t>
      </w:r>
      <w:r w:rsidRPr="0020457C">
        <w:rPr>
          <w:rFonts w:eastAsia="宋体" w:cs="Times New Roman" w:hint="eastAsia"/>
          <w:color w:val="000000"/>
          <w:sz w:val="24"/>
          <w:szCs w:val="24"/>
        </w:rPr>
        <w:t>以代理销售机构最终披露的评级结果为准，投资者的风险承受能力等级以代理销售机构的评估结果为准。</w:t>
      </w: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r w:rsidRPr="0020457C">
        <w:rPr>
          <w:rFonts w:eastAsia="宋体" w:cs="Times New Roman" w:hint="eastAsia"/>
          <w:b/>
          <w:sz w:val="24"/>
          <w:szCs w:val="24"/>
        </w:rPr>
        <w:t>投资者的本金和收益可能会因市场变动而蒙受重大损失，投资者应充分认识投资风险，谨慎投资。最不利情况下，</w:t>
      </w:r>
      <w:r w:rsidRPr="0020457C">
        <w:rPr>
          <w:rFonts w:eastAsia="宋体" w:cs="Times New Roman"/>
          <w:b/>
          <w:sz w:val="24"/>
          <w:szCs w:val="24"/>
        </w:rPr>
        <w:t>您将损失全部本金及收益。</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示例：如投资者购买本理财产品，本金为</w:t>
      </w:r>
      <w:r w:rsidRPr="0020457C">
        <w:rPr>
          <w:rFonts w:eastAsia="宋体" w:cs="Times New Roman" w:hint="eastAsia"/>
          <w:sz w:val="24"/>
          <w:szCs w:val="24"/>
        </w:rPr>
        <w:t>10,000.00</w:t>
      </w:r>
      <w:r w:rsidRPr="0020457C">
        <w:rPr>
          <w:rFonts w:eastAsia="宋体" w:cs="Times New Roman" w:hint="eastAsia"/>
          <w:sz w:val="24"/>
          <w:szCs w:val="24"/>
        </w:rPr>
        <w:t>元，在理财产品资产组合项下资产全部亏损的最不利情况下，理财产品</w:t>
      </w:r>
      <w:r w:rsidRPr="0020457C">
        <w:rPr>
          <w:rFonts w:eastAsia="宋体" w:cs="Times New Roman" w:hint="eastAsia"/>
          <w:sz w:val="24"/>
          <w:szCs w:val="24"/>
        </w:rPr>
        <w:t>10,000.00</w:t>
      </w:r>
      <w:r w:rsidRPr="0020457C">
        <w:rPr>
          <w:rFonts w:eastAsia="宋体" w:cs="Times New Roman" w:hint="eastAsia"/>
          <w:sz w:val="24"/>
          <w:szCs w:val="24"/>
        </w:rPr>
        <w:t>元本金将全部损失。</w:t>
      </w: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r w:rsidRPr="0020457C">
        <w:rPr>
          <w:rFonts w:eastAsia="宋体" w:cs="Times New Roman" w:hint="eastAsia"/>
          <w:b/>
          <w:sz w:val="24"/>
          <w:szCs w:val="24"/>
        </w:rPr>
        <w:t>特别提示：</w:t>
      </w: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r w:rsidRPr="0020457C">
        <w:rPr>
          <w:rFonts w:eastAsia="宋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p>
    <w:p w:rsidR="0020457C" w:rsidRPr="0020457C" w:rsidRDefault="006A53B6" w:rsidP="0020457C">
      <w:pPr>
        <w:pStyle w:val="Normal861f8d48"/>
        <w:spacing w:line="312" w:lineRule="auto"/>
        <w:ind w:leftChars="30" w:left="63" w:firstLineChars="200" w:firstLine="482"/>
        <w:rPr>
          <w:rFonts w:eastAsia="宋体" w:cs="Times New Roman"/>
          <w:b/>
          <w:sz w:val="24"/>
          <w:szCs w:val="24"/>
        </w:rPr>
      </w:pPr>
      <w:r w:rsidRPr="0020457C">
        <w:rPr>
          <w:rFonts w:eastAsia="宋体" w:cs="Times New Roman" w:hint="eastAsia"/>
          <w:b/>
          <w:sz w:val="24"/>
          <w:szCs w:val="24"/>
        </w:rPr>
        <w:t>以下内容由投资者填写（如通过线上渠道购买，</w:t>
      </w:r>
      <w:r w:rsidRPr="0020457C">
        <w:rPr>
          <w:rFonts w:eastAsia="宋体" w:cs="Times New Roman"/>
          <w:b/>
          <w:sz w:val="24"/>
          <w:szCs w:val="24"/>
        </w:rPr>
        <w:t>认</w:t>
      </w:r>
      <w:r w:rsidRPr="0020457C">
        <w:rPr>
          <w:rFonts w:eastAsia="宋体" w:cs="Times New Roman" w:hint="eastAsia"/>
          <w:b/>
          <w:sz w:val="24"/>
          <w:szCs w:val="24"/>
        </w:rPr>
        <w:t>（</w:t>
      </w:r>
      <w:r w:rsidRPr="0020457C">
        <w:rPr>
          <w:rFonts w:eastAsia="宋体" w:cs="Times New Roman"/>
          <w:b/>
          <w:sz w:val="24"/>
          <w:szCs w:val="24"/>
        </w:rPr>
        <w:t>申</w:t>
      </w:r>
      <w:r w:rsidRPr="0020457C">
        <w:rPr>
          <w:rFonts w:eastAsia="宋体" w:cs="Times New Roman" w:hint="eastAsia"/>
          <w:b/>
          <w:sz w:val="24"/>
          <w:szCs w:val="24"/>
        </w:rPr>
        <w:t>）</w:t>
      </w:r>
      <w:r w:rsidRPr="0020457C">
        <w:rPr>
          <w:rFonts w:eastAsia="宋体" w:cs="Times New Roman"/>
          <w:b/>
          <w:sz w:val="24"/>
          <w:szCs w:val="24"/>
        </w:rPr>
        <w:t>购</w:t>
      </w:r>
      <w:r w:rsidRPr="0020457C">
        <w:rPr>
          <w:rFonts w:eastAsia="宋体" w:cs="Times New Roman" w:hint="eastAsia"/>
          <w:b/>
          <w:sz w:val="24"/>
          <w:szCs w:val="24"/>
        </w:rPr>
        <w:t>确认</w:t>
      </w:r>
      <w:r w:rsidRPr="0020457C">
        <w:rPr>
          <w:rFonts w:eastAsia="宋体" w:cs="Times New Roman"/>
          <w:b/>
          <w:sz w:val="24"/>
          <w:szCs w:val="24"/>
        </w:rPr>
        <w:t>即视为</w:t>
      </w:r>
      <w:r w:rsidRPr="0020457C">
        <w:rPr>
          <w:rFonts w:eastAsia="宋体" w:cs="Times New Roman" w:hint="eastAsia"/>
          <w:b/>
          <w:sz w:val="24"/>
          <w:szCs w:val="24"/>
        </w:rPr>
        <w:t>您同意自身</w:t>
      </w:r>
      <w:r w:rsidRPr="0020457C">
        <w:rPr>
          <w:rFonts w:eastAsia="宋体" w:cs="Times New Roman"/>
          <w:b/>
          <w:sz w:val="24"/>
          <w:szCs w:val="24"/>
        </w:rPr>
        <w:t>风险</w:t>
      </w:r>
      <w:r w:rsidRPr="0020457C">
        <w:rPr>
          <w:rFonts w:eastAsia="宋体" w:cs="Times New Roman" w:hint="eastAsia"/>
          <w:b/>
          <w:sz w:val="24"/>
          <w:szCs w:val="24"/>
        </w:rPr>
        <w:t>承受</w:t>
      </w:r>
      <w:r w:rsidRPr="0020457C">
        <w:rPr>
          <w:rFonts w:eastAsia="宋体" w:cs="Times New Roman"/>
          <w:b/>
          <w:sz w:val="24"/>
          <w:szCs w:val="24"/>
        </w:rPr>
        <w:t>能力评级并确认</w:t>
      </w:r>
      <w:r w:rsidRPr="0020457C">
        <w:rPr>
          <w:rFonts w:eastAsia="宋体" w:cs="Times New Roman" w:hint="eastAsia"/>
          <w:b/>
          <w:sz w:val="24"/>
          <w:szCs w:val="24"/>
        </w:rPr>
        <w:t>风险</w:t>
      </w:r>
      <w:r w:rsidRPr="0020457C">
        <w:rPr>
          <w:rFonts w:eastAsia="宋体" w:cs="Times New Roman"/>
          <w:b/>
          <w:sz w:val="24"/>
          <w:szCs w:val="24"/>
        </w:rPr>
        <w:t>揭示内容，愿意承担投资风险</w:t>
      </w:r>
      <w:r w:rsidRPr="0020457C">
        <w:rPr>
          <w:rFonts w:eastAsia="宋体" w:cs="Times New Roman" w:hint="eastAsia"/>
          <w:b/>
          <w:sz w:val="24"/>
          <w:szCs w:val="24"/>
        </w:rPr>
        <w:t>，该等确认与书面</w:t>
      </w:r>
      <w:r w:rsidRPr="0020457C">
        <w:rPr>
          <w:rFonts w:eastAsia="宋体" w:cs="Times New Roman"/>
          <w:b/>
          <w:sz w:val="24"/>
          <w:szCs w:val="24"/>
        </w:rPr>
        <w:t>签署具有同等</w:t>
      </w:r>
      <w:r w:rsidRPr="0020457C">
        <w:rPr>
          <w:rFonts w:eastAsia="宋体" w:cs="Times New Roman" w:hint="eastAsia"/>
          <w:b/>
          <w:sz w:val="24"/>
          <w:szCs w:val="24"/>
        </w:rPr>
        <w:t>效力，无需</w:t>
      </w:r>
      <w:r w:rsidRPr="0020457C">
        <w:rPr>
          <w:rFonts w:eastAsia="宋体" w:cs="Times New Roman"/>
          <w:b/>
          <w:sz w:val="24"/>
          <w:szCs w:val="24"/>
        </w:rPr>
        <w:t>另行签署纸质文件</w:t>
      </w:r>
      <w:r w:rsidRPr="0020457C">
        <w:rPr>
          <w:rFonts w:eastAsia="宋体" w:cs="Times New Roman" w:hint="eastAsia"/>
          <w:b/>
          <w:sz w:val="24"/>
          <w:szCs w:val="24"/>
        </w:rPr>
        <w:t>）：</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1</w:t>
      </w:r>
      <w:r w:rsidRPr="0020457C">
        <w:rPr>
          <w:rFonts w:eastAsia="宋体" w:cs="Times New Roman" w:hint="eastAsia"/>
          <w:sz w:val="24"/>
          <w:szCs w:val="24"/>
        </w:rPr>
        <w:t>、本人风险承受能力评级结果为（机构</w:t>
      </w:r>
      <w:r w:rsidRPr="0020457C">
        <w:rPr>
          <w:rFonts w:eastAsia="宋体" w:cs="Times New Roman"/>
          <w:sz w:val="24"/>
          <w:szCs w:val="24"/>
        </w:rPr>
        <w:t>投资者无需填写）</w:t>
      </w:r>
      <w:r w:rsidRPr="0020457C">
        <w:rPr>
          <w:rFonts w:eastAsia="宋体" w:cs="Times New Roman" w:hint="eastAsia"/>
          <w:sz w:val="24"/>
          <w:szCs w:val="24"/>
        </w:rPr>
        <w:t>：</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w:t>
      </w:r>
      <w:r w:rsidRPr="0020457C">
        <w:rPr>
          <w:rFonts w:eastAsia="宋体" w:cs="Times New Roman" w:hint="eastAsia"/>
          <w:sz w:val="24"/>
          <w:szCs w:val="24"/>
        </w:rPr>
        <w:t>1</w:t>
      </w:r>
      <w:r w:rsidRPr="0020457C">
        <w:rPr>
          <w:rFonts w:eastAsia="宋体" w:cs="Times New Roman"/>
          <w:sz w:val="24"/>
          <w:szCs w:val="24"/>
        </w:rPr>
        <w:t>）</w:t>
      </w:r>
      <w:r w:rsidRPr="0020457C">
        <w:rPr>
          <w:rFonts w:eastAsia="宋体" w:cs="Times New Roman" w:hint="eastAsia"/>
          <w:sz w:val="24"/>
          <w:szCs w:val="24"/>
        </w:rPr>
        <w:t>________</w:t>
      </w:r>
      <w:r w:rsidRPr="0020457C">
        <w:rPr>
          <w:rFonts w:eastAsia="宋体" w:cs="Times New Roman" w:hint="eastAsia"/>
          <w:sz w:val="24"/>
          <w:szCs w:val="24"/>
        </w:rPr>
        <w:t>（通过宁银理财</w:t>
      </w:r>
      <w:r w:rsidRPr="0020457C">
        <w:rPr>
          <w:rFonts w:eastAsia="宋体" w:cs="Times New Roman"/>
          <w:sz w:val="24"/>
          <w:szCs w:val="24"/>
        </w:rPr>
        <w:t>直销</w:t>
      </w:r>
      <w:r w:rsidRPr="0020457C">
        <w:rPr>
          <w:rFonts w:eastAsia="宋体" w:cs="Times New Roman" w:hint="eastAsia"/>
          <w:sz w:val="24"/>
          <w:szCs w:val="24"/>
        </w:rPr>
        <w:t>渠道购买</w:t>
      </w:r>
      <w:r w:rsidRPr="0020457C">
        <w:rPr>
          <w:rFonts w:eastAsia="宋体" w:cs="Times New Roman"/>
          <w:sz w:val="24"/>
          <w:szCs w:val="24"/>
        </w:rPr>
        <w:t>的</w:t>
      </w:r>
      <w:r w:rsidRPr="0020457C">
        <w:rPr>
          <w:rFonts w:eastAsia="宋体" w:cs="Times New Roman" w:hint="eastAsia"/>
          <w:sz w:val="24"/>
          <w:szCs w:val="24"/>
        </w:rPr>
        <w:t>非</w:t>
      </w:r>
      <w:r w:rsidRPr="0020457C">
        <w:rPr>
          <w:rFonts w:eastAsia="宋体" w:cs="Times New Roman"/>
          <w:sz w:val="24"/>
          <w:szCs w:val="24"/>
        </w:rPr>
        <w:t>机构投资者填写）</w:t>
      </w:r>
      <w:r w:rsidRPr="0020457C">
        <w:rPr>
          <w:rFonts w:eastAsia="宋体" w:cs="Times New Roman" w:hint="eastAsia"/>
          <w:sz w:val="24"/>
          <w:szCs w:val="24"/>
        </w:rPr>
        <w:t>，</w:t>
      </w:r>
      <w:r w:rsidRPr="0020457C">
        <w:rPr>
          <w:rFonts w:eastAsia="宋体" w:cs="Times New Roman"/>
          <w:sz w:val="24"/>
          <w:szCs w:val="24"/>
        </w:rPr>
        <w:t>可购买与本人</w:t>
      </w:r>
      <w:r w:rsidRPr="0020457C">
        <w:rPr>
          <w:rFonts w:eastAsia="宋体" w:cs="Times New Roman" w:hint="eastAsia"/>
          <w:sz w:val="24"/>
          <w:szCs w:val="24"/>
        </w:rPr>
        <w:t>风险级别</w:t>
      </w:r>
      <w:r w:rsidRPr="0020457C">
        <w:rPr>
          <w:rFonts w:eastAsia="宋体" w:cs="Times New Roman"/>
          <w:sz w:val="24"/>
          <w:szCs w:val="24"/>
        </w:rPr>
        <w:t>相匹配的</w:t>
      </w:r>
      <w:r w:rsidRPr="0020457C">
        <w:rPr>
          <w:rFonts w:eastAsia="宋体" w:cs="Times New Roman" w:hint="eastAsia"/>
          <w:sz w:val="24"/>
          <w:szCs w:val="24"/>
        </w:rPr>
        <w:t>理财</w:t>
      </w:r>
      <w:r w:rsidRPr="0020457C">
        <w:rPr>
          <w:rFonts w:eastAsia="宋体" w:cs="Times New Roman"/>
          <w:sz w:val="24"/>
          <w:szCs w:val="24"/>
        </w:rPr>
        <w:t>产品</w:t>
      </w:r>
      <w:r w:rsidRPr="0020457C">
        <w:rPr>
          <w:rFonts w:eastAsia="宋体" w:cs="Times New Roman" w:hint="eastAsia"/>
          <w:sz w:val="24"/>
          <w:szCs w:val="24"/>
        </w:rPr>
        <w:t>，</w:t>
      </w:r>
      <w:r w:rsidRPr="0020457C">
        <w:rPr>
          <w:rFonts w:eastAsia="宋体" w:cs="Times New Roman"/>
          <w:sz w:val="24"/>
          <w:szCs w:val="24"/>
        </w:rPr>
        <w:t>具体</w:t>
      </w:r>
      <w:r w:rsidRPr="0020457C">
        <w:rPr>
          <w:rFonts w:eastAsia="宋体" w:cs="Times New Roman" w:hint="eastAsia"/>
          <w:sz w:val="24"/>
          <w:szCs w:val="24"/>
        </w:rPr>
        <w:t>匹配</w:t>
      </w:r>
      <w:r w:rsidRPr="0020457C">
        <w:rPr>
          <w:rFonts w:eastAsia="宋体" w:cs="Times New Roman"/>
          <w:sz w:val="24"/>
          <w:szCs w:val="24"/>
        </w:rPr>
        <w:t>情况见</w:t>
      </w:r>
      <w:r w:rsidRPr="0020457C">
        <w:rPr>
          <w:rFonts w:eastAsia="宋体" w:cs="Times New Roman" w:hint="eastAsia"/>
          <w:sz w:val="24"/>
          <w:szCs w:val="24"/>
        </w:rPr>
        <w:t>《投资者权益须知</w:t>
      </w:r>
      <w:r w:rsidRPr="0020457C">
        <w:rPr>
          <w:rFonts w:eastAsia="宋体" w:cs="Times New Roman"/>
          <w:sz w:val="24"/>
          <w:szCs w:val="24"/>
        </w:rPr>
        <w:t>》</w:t>
      </w:r>
      <w:r w:rsidRPr="0020457C">
        <w:rPr>
          <w:rFonts w:eastAsia="宋体" w:cs="Times New Roman" w:hint="eastAsia"/>
          <w:sz w:val="24"/>
          <w:szCs w:val="24"/>
        </w:rPr>
        <w:t>。</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w:t>
      </w:r>
      <w:r w:rsidRPr="0020457C">
        <w:rPr>
          <w:rFonts w:eastAsia="宋体" w:cs="Times New Roman" w:hint="eastAsia"/>
          <w:sz w:val="24"/>
          <w:szCs w:val="24"/>
        </w:rPr>
        <w:t>2</w:t>
      </w:r>
      <w:r w:rsidRPr="0020457C">
        <w:rPr>
          <w:rFonts w:eastAsia="宋体" w:cs="Times New Roman"/>
          <w:sz w:val="24"/>
          <w:szCs w:val="24"/>
        </w:rPr>
        <w:t>）</w:t>
      </w:r>
      <w:r w:rsidRPr="0020457C">
        <w:rPr>
          <w:rFonts w:eastAsia="宋体" w:cs="Times New Roman" w:hint="eastAsia"/>
          <w:sz w:val="24"/>
          <w:szCs w:val="24"/>
        </w:rPr>
        <w:t>________</w:t>
      </w:r>
      <w:r w:rsidRPr="0020457C">
        <w:rPr>
          <w:rFonts w:eastAsia="宋体" w:cs="Times New Roman" w:hint="eastAsia"/>
          <w:sz w:val="24"/>
          <w:szCs w:val="24"/>
        </w:rPr>
        <w:t>（通过</w:t>
      </w:r>
      <w:r w:rsidRPr="0020457C">
        <w:rPr>
          <w:rFonts w:eastAsia="宋体" w:cs="Times New Roman"/>
          <w:sz w:val="24"/>
          <w:szCs w:val="24"/>
        </w:rPr>
        <w:t>代理销售机构</w:t>
      </w:r>
      <w:r w:rsidRPr="0020457C">
        <w:rPr>
          <w:rFonts w:eastAsia="宋体" w:cs="Times New Roman" w:hint="eastAsia"/>
          <w:sz w:val="24"/>
          <w:szCs w:val="24"/>
        </w:rPr>
        <w:t>购买</w:t>
      </w:r>
      <w:r w:rsidRPr="0020457C">
        <w:rPr>
          <w:rFonts w:eastAsia="宋体" w:cs="Times New Roman"/>
          <w:sz w:val="24"/>
          <w:szCs w:val="24"/>
        </w:rPr>
        <w:t>的</w:t>
      </w:r>
      <w:r w:rsidRPr="0020457C">
        <w:rPr>
          <w:rFonts w:eastAsia="宋体" w:cs="Times New Roman" w:hint="eastAsia"/>
          <w:sz w:val="24"/>
          <w:szCs w:val="24"/>
        </w:rPr>
        <w:t>非</w:t>
      </w:r>
      <w:r w:rsidRPr="0020457C">
        <w:rPr>
          <w:rFonts w:eastAsia="宋体" w:cs="Times New Roman"/>
          <w:sz w:val="24"/>
          <w:szCs w:val="24"/>
        </w:rPr>
        <w:t>机构投资者填写）</w:t>
      </w:r>
      <w:r w:rsidRPr="0020457C">
        <w:rPr>
          <w:rFonts w:eastAsia="宋体" w:cs="Times New Roman" w:hint="eastAsia"/>
          <w:sz w:val="24"/>
          <w:szCs w:val="24"/>
        </w:rPr>
        <w:t>，</w:t>
      </w:r>
      <w:r w:rsidRPr="0020457C">
        <w:rPr>
          <w:rFonts w:eastAsia="宋体" w:cs="Times New Roman"/>
          <w:sz w:val="24"/>
          <w:szCs w:val="24"/>
        </w:rPr>
        <w:t>可购买</w:t>
      </w:r>
      <w:r w:rsidRPr="0020457C">
        <w:rPr>
          <w:rFonts w:eastAsia="宋体" w:cs="Times New Roman" w:hint="eastAsia"/>
          <w:sz w:val="24"/>
          <w:szCs w:val="24"/>
        </w:rPr>
        <w:t>与</w:t>
      </w:r>
      <w:r w:rsidRPr="0020457C">
        <w:rPr>
          <w:rFonts w:eastAsia="宋体" w:cs="Times New Roman"/>
          <w:sz w:val="24"/>
          <w:szCs w:val="24"/>
        </w:rPr>
        <w:t>本人风险</w:t>
      </w:r>
      <w:r w:rsidRPr="0020457C">
        <w:rPr>
          <w:rFonts w:eastAsia="宋体" w:cs="Times New Roman" w:hint="eastAsia"/>
          <w:sz w:val="24"/>
          <w:szCs w:val="24"/>
        </w:rPr>
        <w:t>级别</w:t>
      </w:r>
      <w:r w:rsidRPr="0020457C">
        <w:rPr>
          <w:rFonts w:eastAsia="宋体" w:cs="Times New Roman"/>
          <w:sz w:val="24"/>
          <w:szCs w:val="24"/>
        </w:rPr>
        <w:t>相匹配的理财产品，具体</w:t>
      </w:r>
      <w:r w:rsidRPr="0020457C">
        <w:rPr>
          <w:rFonts w:eastAsia="宋体" w:cs="Times New Roman" w:hint="eastAsia"/>
          <w:sz w:val="24"/>
          <w:szCs w:val="24"/>
        </w:rPr>
        <w:t>匹配</w:t>
      </w:r>
      <w:r w:rsidRPr="0020457C">
        <w:rPr>
          <w:rFonts w:eastAsia="宋体" w:cs="Times New Roman"/>
          <w:sz w:val="24"/>
          <w:szCs w:val="24"/>
        </w:rPr>
        <w:t>情况从</w:t>
      </w:r>
      <w:r w:rsidRPr="0020457C">
        <w:rPr>
          <w:rFonts w:eastAsia="宋体" w:cs="Times New Roman" w:hint="eastAsia"/>
          <w:sz w:val="24"/>
          <w:szCs w:val="24"/>
        </w:rPr>
        <w:t>代理销售机构对理财产品风险水平及投资者风险承受能力评估</w:t>
      </w:r>
      <w:r w:rsidRPr="0020457C">
        <w:rPr>
          <w:rFonts w:eastAsia="宋体" w:cs="Times New Roman"/>
          <w:sz w:val="24"/>
          <w:szCs w:val="24"/>
        </w:rPr>
        <w:t>。</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2</w:t>
      </w:r>
      <w:r w:rsidRPr="0020457C">
        <w:rPr>
          <w:rFonts w:eastAsia="宋体" w:cs="Times New Roman" w:hint="eastAsia"/>
          <w:sz w:val="24"/>
          <w:szCs w:val="24"/>
        </w:rPr>
        <w:t>、本人</w:t>
      </w:r>
      <w:r w:rsidRPr="0020457C">
        <w:rPr>
          <w:rFonts w:eastAsia="宋体" w:cs="Times New Roman" w:hint="eastAsia"/>
          <w:sz w:val="24"/>
          <w:szCs w:val="24"/>
        </w:rPr>
        <w:t>/</w:t>
      </w:r>
      <w:r w:rsidRPr="0020457C">
        <w:rPr>
          <w:rFonts w:eastAsia="宋体" w:cs="Times New Roman" w:hint="eastAsia"/>
          <w:sz w:val="24"/>
          <w:szCs w:val="24"/>
        </w:rPr>
        <w:t>本机构已经阅读风险揭示书，愿意承担投资风险（在下方横线处抄写本句内容）。</w:t>
      </w:r>
    </w:p>
    <w:p w:rsidR="0020457C" w:rsidRPr="0020457C" w:rsidRDefault="006A53B6" w:rsidP="0020457C">
      <w:pPr>
        <w:pStyle w:val="Normal861f8d48"/>
        <w:spacing w:line="312" w:lineRule="auto"/>
        <w:ind w:leftChars="30" w:left="63" w:firstLineChars="200" w:firstLine="480"/>
        <w:rPr>
          <w:rFonts w:eastAsia="宋体" w:cs="Times New Roman"/>
          <w:sz w:val="24"/>
          <w:szCs w:val="24"/>
        </w:rPr>
      </w:pPr>
      <w:r w:rsidRPr="0020457C">
        <w:rPr>
          <w:rFonts w:eastAsia="宋体" w:cs="Times New Roman" w:hint="eastAsia"/>
          <w:sz w:val="24"/>
          <w:szCs w:val="24"/>
        </w:rPr>
        <w:t>______</w:t>
      </w:r>
      <w:r w:rsidRPr="0020457C">
        <w:rPr>
          <w:rFonts w:eastAsia="宋体" w:cs="Times New Roman" w:hint="eastAsia"/>
          <w:sz w:val="24"/>
          <w:szCs w:val="24"/>
          <w:u w:val="single"/>
        </w:rPr>
        <w:t>______</w:t>
      </w:r>
      <w:r w:rsidRPr="0020457C">
        <w:rPr>
          <w:rFonts w:eastAsia="宋体" w:cs="Times New Roman"/>
          <w:sz w:val="24"/>
          <w:szCs w:val="24"/>
          <w:u w:val="single"/>
        </w:rPr>
        <w:t xml:space="preserve">           </w:t>
      </w:r>
      <w:r w:rsidRPr="0020457C">
        <w:rPr>
          <w:rFonts w:eastAsia="宋体" w:cs="Times New Roman" w:hint="eastAsia"/>
          <w:sz w:val="24"/>
          <w:szCs w:val="24"/>
        </w:rPr>
        <w:t>________________________________________</w:t>
      </w:r>
    </w:p>
    <w:p w:rsidR="0020457C" w:rsidRPr="0020457C" w:rsidRDefault="006A53B6" w:rsidP="0020457C">
      <w:pPr>
        <w:pStyle w:val="Normal861f8d48"/>
        <w:spacing w:line="312" w:lineRule="auto"/>
        <w:ind w:leftChars="30" w:left="63"/>
        <w:rPr>
          <w:rFonts w:eastAsia="宋体" w:cs="宋体"/>
          <w:b/>
          <w:bCs/>
          <w:kern w:val="0"/>
          <w:sz w:val="24"/>
          <w:szCs w:val="24"/>
        </w:rPr>
      </w:pPr>
    </w:p>
    <w:p w:rsidR="0020457C" w:rsidRPr="0020457C" w:rsidRDefault="006A53B6" w:rsidP="0020457C">
      <w:pPr>
        <w:pStyle w:val="Normal861f8d48"/>
        <w:spacing w:line="312" w:lineRule="auto"/>
        <w:ind w:leftChars="30" w:left="63"/>
        <w:jc w:val="left"/>
        <w:rPr>
          <w:rFonts w:eastAsia="宋体" w:cs="宋体"/>
          <w:b/>
          <w:bCs/>
          <w:kern w:val="0"/>
          <w:sz w:val="24"/>
          <w:szCs w:val="24"/>
        </w:rPr>
      </w:pPr>
      <w:r w:rsidRPr="0020457C">
        <w:rPr>
          <w:rFonts w:eastAsia="宋体" w:cs="宋体" w:hint="eastAsia"/>
          <w:b/>
          <w:bCs/>
          <w:kern w:val="0"/>
          <w:sz w:val="24"/>
          <w:szCs w:val="24"/>
        </w:rPr>
        <w:t>投资者签字</w:t>
      </w:r>
      <w:r w:rsidRPr="0020457C">
        <w:rPr>
          <w:rFonts w:eastAsia="宋体" w:cs="宋体" w:hint="eastAsia"/>
          <w:b/>
          <w:bCs/>
          <w:kern w:val="0"/>
          <w:sz w:val="24"/>
          <w:szCs w:val="24"/>
        </w:rPr>
        <w:t xml:space="preserve">   ____________</w:t>
      </w:r>
    </w:p>
    <w:p w:rsidR="0020457C" w:rsidRPr="0020457C" w:rsidRDefault="006A53B6" w:rsidP="0020457C">
      <w:pPr>
        <w:pStyle w:val="Normal861f8d48"/>
        <w:spacing w:line="312" w:lineRule="auto"/>
        <w:ind w:leftChars="30" w:left="63"/>
        <w:jc w:val="left"/>
        <w:rPr>
          <w:rFonts w:eastAsia="宋体" w:cs="宋体"/>
          <w:b/>
          <w:bCs/>
          <w:kern w:val="0"/>
          <w:sz w:val="24"/>
          <w:szCs w:val="24"/>
        </w:rPr>
      </w:pPr>
    </w:p>
    <w:p w:rsidR="0020457C" w:rsidRPr="0020457C" w:rsidRDefault="006A53B6" w:rsidP="0020457C">
      <w:pPr>
        <w:pStyle w:val="Normal861f8d48"/>
        <w:spacing w:line="312" w:lineRule="auto"/>
        <w:ind w:leftChars="30" w:left="63"/>
        <w:jc w:val="left"/>
        <w:rPr>
          <w:rFonts w:eastAsia="宋体" w:cs="宋体"/>
          <w:b/>
          <w:bCs/>
          <w:kern w:val="0"/>
          <w:sz w:val="24"/>
          <w:szCs w:val="24"/>
        </w:rPr>
      </w:pPr>
      <w:r w:rsidRPr="0020457C">
        <w:rPr>
          <w:rFonts w:eastAsia="宋体" w:cs="宋体" w:hint="eastAsia"/>
          <w:b/>
          <w:bCs/>
          <w:kern w:val="0"/>
          <w:sz w:val="24"/>
          <w:szCs w:val="24"/>
        </w:rPr>
        <w:t>（</w:t>
      </w:r>
      <w:r w:rsidRPr="0020457C">
        <w:rPr>
          <w:rFonts w:eastAsia="宋体" w:cs="宋体"/>
          <w:b/>
          <w:bCs/>
          <w:kern w:val="0"/>
          <w:sz w:val="24"/>
          <w:szCs w:val="24"/>
        </w:rPr>
        <w:t>机构投资者</w:t>
      </w:r>
      <w:r w:rsidRPr="0020457C">
        <w:rPr>
          <w:rFonts w:eastAsia="宋体" w:cs="宋体" w:hint="eastAsia"/>
          <w:b/>
          <w:bCs/>
          <w:kern w:val="0"/>
          <w:sz w:val="24"/>
          <w:szCs w:val="24"/>
        </w:rPr>
        <w:t>加</w:t>
      </w:r>
      <w:r w:rsidRPr="0020457C">
        <w:rPr>
          <w:rFonts w:eastAsia="宋体" w:cs="宋体"/>
          <w:b/>
          <w:bCs/>
          <w:kern w:val="0"/>
          <w:sz w:val="24"/>
          <w:szCs w:val="24"/>
        </w:rPr>
        <w:t>盖</w:t>
      </w:r>
      <w:r w:rsidRPr="0020457C">
        <w:rPr>
          <w:rFonts w:eastAsia="宋体" w:cs="宋体" w:hint="eastAsia"/>
          <w:b/>
          <w:bCs/>
          <w:kern w:val="0"/>
          <w:sz w:val="24"/>
          <w:szCs w:val="24"/>
        </w:rPr>
        <w:t>公</w:t>
      </w:r>
      <w:r w:rsidRPr="0020457C">
        <w:rPr>
          <w:rFonts w:eastAsia="宋体" w:cs="宋体"/>
          <w:b/>
          <w:bCs/>
          <w:kern w:val="0"/>
          <w:sz w:val="24"/>
          <w:szCs w:val="24"/>
        </w:rPr>
        <w:t>章）</w:t>
      </w:r>
    </w:p>
    <w:p w:rsidR="0020457C" w:rsidRPr="0020457C" w:rsidRDefault="006A53B6" w:rsidP="0020457C">
      <w:pPr>
        <w:pStyle w:val="Normal861f8d48"/>
        <w:spacing w:line="312" w:lineRule="auto"/>
        <w:ind w:leftChars="30" w:left="63"/>
        <w:jc w:val="left"/>
        <w:rPr>
          <w:rFonts w:eastAsia="宋体" w:cs="宋体"/>
          <w:b/>
          <w:bCs/>
          <w:kern w:val="0"/>
          <w:sz w:val="24"/>
          <w:szCs w:val="24"/>
        </w:rPr>
      </w:pPr>
    </w:p>
    <w:p w:rsidR="00FC1DA6" w:rsidRPr="00566D64" w:rsidRDefault="006A53B6" w:rsidP="00566D64">
      <w:pPr>
        <w:pStyle w:val="Normal861f8d48"/>
        <w:spacing w:line="312" w:lineRule="auto"/>
        <w:ind w:leftChars="30" w:left="63"/>
        <w:jc w:val="left"/>
        <w:rPr>
          <w:rFonts w:eastAsia="宋体" w:cs="宋体"/>
          <w:b/>
          <w:bCs/>
          <w:kern w:val="0"/>
          <w:sz w:val="24"/>
          <w:szCs w:val="24"/>
        </w:rPr>
      </w:pPr>
      <w:r w:rsidRPr="0020457C">
        <w:rPr>
          <w:rFonts w:eastAsia="宋体" w:cs="宋体" w:hint="eastAsia"/>
          <w:b/>
          <w:bCs/>
          <w:kern w:val="0"/>
          <w:sz w:val="24"/>
          <w:szCs w:val="24"/>
        </w:rPr>
        <w:t>日期</w:t>
      </w:r>
      <w:r w:rsidRPr="0020457C">
        <w:rPr>
          <w:rFonts w:eastAsia="宋体" w:cs="宋体" w:hint="eastAsia"/>
          <w:b/>
          <w:bCs/>
          <w:kern w:val="0"/>
          <w:sz w:val="24"/>
          <w:szCs w:val="24"/>
        </w:rPr>
        <w:t xml:space="preserve">         ____________</w:t>
      </w:r>
      <w:bookmarkStart w:id="6" w:name="_GoBack"/>
      <w:bookmarkEnd w:id="6"/>
    </w:p>
    <w:p w:rsidR="00C57452" w:rsidRPr="00C57452" w:rsidRDefault="006A53B6" w:rsidP="00C57452">
      <w:pPr>
        <w:pStyle w:val="14b66b08"/>
      </w:pPr>
      <w:r w:rsidRPr="000A549A">
        <w:rPr>
          <w:rFonts w:hint="eastAsia"/>
        </w:rPr>
        <w:lastRenderedPageBreak/>
        <w:t>宁</w:t>
      </w:r>
      <w:r w:rsidRPr="000A549A">
        <w:rPr>
          <w:rFonts w:hint="eastAsia"/>
        </w:rPr>
        <w:t>银理财</w:t>
      </w:r>
      <w:r w:rsidRPr="00576A5B">
        <w:rPr>
          <w:rFonts w:hint="eastAsia"/>
        </w:rPr>
        <w:t>宁欣天天鎏金现金管理类理财产品</w:t>
      </w:r>
      <w:r w:rsidRPr="00576A5B">
        <w:t>3</w:t>
      </w:r>
      <w:r w:rsidRPr="00576A5B">
        <w:t>号</w:t>
      </w:r>
      <w:r w:rsidRPr="00C57452">
        <w:rPr>
          <w:rFonts w:hint="eastAsia"/>
        </w:rPr>
        <w:t>产品投资者权益须知</w:t>
      </w:r>
    </w:p>
    <w:p w:rsidR="00C57452" w:rsidRPr="00C57452" w:rsidRDefault="006A53B6" w:rsidP="00C57452">
      <w:pPr>
        <w:pStyle w:val="Normalaa7bb105"/>
        <w:spacing w:line="400" w:lineRule="exact"/>
        <w:jc w:val="center"/>
        <w:rPr>
          <w:rFonts w:eastAsia="宋体" w:cs="Times New Roman"/>
          <w:color w:val="000000"/>
          <w:sz w:val="28"/>
          <w:szCs w:val="28"/>
        </w:rPr>
      </w:pPr>
      <w:r w:rsidRPr="00C57452">
        <w:rPr>
          <w:rFonts w:eastAsia="宋体" w:cs="Times New Roman" w:hint="eastAsia"/>
          <w:b/>
          <w:sz w:val="24"/>
          <w:szCs w:val="24"/>
        </w:rPr>
        <w:t>（</w:t>
      </w:r>
      <w:r w:rsidRPr="00C57452">
        <w:rPr>
          <w:rFonts w:eastAsia="宋体" w:cs="Times New Roman"/>
          <w:b/>
          <w:sz w:val="24"/>
          <w:szCs w:val="24"/>
        </w:rPr>
        <w:t>202</w:t>
      </w:r>
      <w:r>
        <w:rPr>
          <w:rFonts w:eastAsia="宋体" w:cs="Times New Roman"/>
          <w:b/>
          <w:sz w:val="24"/>
          <w:szCs w:val="24"/>
        </w:rPr>
        <w:t>302</w:t>
      </w:r>
      <w:r w:rsidRPr="00C57452">
        <w:rPr>
          <w:rFonts w:eastAsia="宋体" w:cs="Times New Roman" w:hint="eastAsia"/>
          <w:b/>
          <w:sz w:val="24"/>
          <w:szCs w:val="24"/>
        </w:rPr>
        <w:t>版）</w:t>
      </w:r>
    </w:p>
    <w:p w:rsidR="00C57452" w:rsidRPr="00C57452" w:rsidRDefault="006A53B6" w:rsidP="00C57452">
      <w:pPr>
        <w:pStyle w:val="Normalaa7bb105"/>
        <w:spacing w:line="312" w:lineRule="auto"/>
        <w:rPr>
          <w:rFonts w:eastAsia="宋体" w:cs="Times New Roman"/>
          <w:color w:val="000000"/>
          <w:sz w:val="24"/>
          <w:szCs w:val="24"/>
        </w:rPr>
      </w:pPr>
    </w:p>
    <w:p w:rsidR="00C57452" w:rsidRPr="00C57452" w:rsidRDefault="006A53B6" w:rsidP="00C57452">
      <w:pPr>
        <w:pStyle w:val="Normalaa7bb105"/>
        <w:spacing w:line="312" w:lineRule="auto"/>
        <w:rPr>
          <w:rFonts w:eastAsia="宋体" w:cs="Times New Roman"/>
          <w:color w:val="000000"/>
          <w:sz w:val="24"/>
          <w:szCs w:val="24"/>
        </w:rPr>
      </w:pPr>
      <w:r w:rsidRPr="00C57452">
        <w:rPr>
          <w:rFonts w:eastAsia="宋体" w:cs="Times New Roman" w:hint="eastAsia"/>
          <w:color w:val="000000"/>
          <w:sz w:val="24"/>
          <w:szCs w:val="24"/>
        </w:rPr>
        <w:t>尊敬的投资者：</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购买宁银理财有限</w:t>
      </w:r>
      <w:r w:rsidRPr="00C57452">
        <w:rPr>
          <w:rFonts w:eastAsia="宋体" w:cs="Times New Roman"/>
          <w:color w:val="000000"/>
          <w:sz w:val="24"/>
          <w:szCs w:val="24"/>
        </w:rPr>
        <w:t>责任公司（</w:t>
      </w:r>
      <w:r w:rsidRPr="00C57452">
        <w:rPr>
          <w:rFonts w:eastAsia="宋体" w:cs="Times New Roman" w:hint="eastAsia"/>
          <w:color w:val="000000"/>
          <w:sz w:val="24"/>
          <w:szCs w:val="24"/>
        </w:rPr>
        <w:t>下称“宁银理财”或“本公司”</w:t>
      </w:r>
      <w:r w:rsidRPr="00C57452">
        <w:rPr>
          <w:rFonts w:eastAsia="宋体" w:cs="Times New Roman"/>
          <w:color w:val="000000"/>
          <w:sz w:val="24"/>
          <w:szCs w:val="24"/>
        </w:rPr>
        <w:t>）</w:t>
      </w:r>
      <w:r w:rsidRPr="00C57452">
        <w:rPr>
          <w:rFonts w:eastAsia="宋体" w:cs="Times New Roman" w:hint="eastAsia"/>
          <w:color w:val="000000"/>
          <w:sz w:val="24"/>
          <w:szCs w:val="24"/>
        </w:rPr>
        <w:t>发行的</w:t>
      </w:r>
      <w:r w:rsidRPr="00C57452">
        <w:rPr>
          <w:rFonts w:eastAsia="宋体" w:cs="Times New Roman"/>
          <w:color w:val="000000"/>
          <w:sz w:val="24"/>
          <w:szCs w:val="24"/>
        </w:rPr>
        <w:t>理财</w:t>
      </w:r>
      <w:r w:rsidRPr="00C57452">
        <w:rPr>
          <w:rFonts w:eastAsia="宋体" w:cs="Times New Roman" w:hint="eastAsia"/>
          <w:color w:val="000000"/>
          <w:sz w:val="24"/>
          <w:szCs w:val="24"/>
        </w:rPr>
        <w:t>产品，有机会获取投资收益，同时也存在一定投资风险，为了保护您的合法权益，请在购买之前认真阅读以下内容：</w:t>
      </w:r>
    </w:p>
    <w:p w:rsidR="00C57452" w:rsidRPr="00C57452" w:rsidRDefault="006A53B6" w:rsidP="00C57452">
      <w:pPr>
        <w:pStyle w:val="Normalaa7bb105"/>
        <w:spacing w:line="312" w:lineRule="auto"/>
        <w:ind w:firstLineChars="200" w:firstLine="482"/>
        <w:rPr>
          <w:rFonts w:eastAsia="宋体" w:cs="Times New Roman"/>
          <w:b/>
          <w:bCs/>
          <w:color w:val="000000"/>
          <w:sz w:val="24"/>
          <w:szCs w:val="24"/>
        </w:rPr>
      </w:pPr>
      <w:r w:rsidRPr="00C57452">
        <w:rPr>
          <w:rFonts w:eastAsia="宋体" w:cs="Times New Roman" w:hint="eastAsia"/>
          <w:b/>
          <w:bCs/>
          <w:color w:val="000000"/>
          <w:sz w:val="24"/>
          <w:szCs w:val="24"/>
        </w:rPr>
        <w:t>一、理财产品办理流程</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投资者可通过宁银理财或代理销售机构的营业网点</w:t>
      </w:r>
      <w:r w:rsidRPr="00C57452">
        <w:rPr>
          <w:rFonts w:eastAsia="宋体" w:cs="Times New Roman"/>
          <w:color w:val="000000"/>
          <w:sz w:val="24"/>
          <w:szCs w:val="24"/>
        </w:rPr>
        <w:t>、</w:t>
      </w:r>
      <w:r w:rsidRPr="00C57452">
        <w:rPr>
          <w:rFonts w:eastAsia="宋体" w:cs="Times New Roman" w:hint="eastAsia"/>
          <w:color w:val="000000"/>
          <w:sz w:val="24"/>
          <w:szCs w:val="24"/>
        </w:rPr>
        <w:t>客服</w:t>
      </w:r>
      <w:r w:rsidRPr="00C57452">
        <w:rPr>
          <w:rFonts w:eastAsia="宋体" w:cs="Times New Roman"/>
          <w:color w:val="000000"/>
          <w:sz w:val="24"/>
          <w:szCs w:val="24"/>
        </w:rPr>
        <w:t>电话</w:t>
      </w:r>
      <w:r w:rsidRPr="00C57452">
        <w:rPr>
          <w:rFonts w:eastAsia="宋体" w:cs="Times New Roman" w:hint="eastAsia"/>
          <w:color w:val="000000"/>
          <w:sz w:val="24"/>
          <w:szCs w:val="24"/>
        </w:rPr>
        <w:t>、电子渠道</w:t>
      </w:r>
      <w:r w:rsidRPr="00C57452">
        <w:rPr>
          <w:rFonts w:eastAsia="宋体" w:cs="Times New Roman"/>
          <w:color w:val="000000"/>
          <w:sz w:val="24"/>
          <w:szCs w:val="24"/>
        </w:rPr>
        <w:t>等</w:t>
      </w:r>
      <w:r w:rsidRPr="00C57452">
        <w:rPr>
          <w:rFonts w:eastAsia="宋体" w:cs="Times New Roman" w:hint="eastAsia"/>
          <w:color w:val="000000"/>
          <w:sz w:val="24"/>
          <w:szCs w:val="24"/>
        </w:rPr>
        <w:t>途径</w:t>
      </w:r>
      <w:r w:rsidRPr="00C57452">
        <w:rPr>
          <w:rFonts w:eastAsia="宋体" w:cs="Times New Roman"/>
          <w:color w:val="000000"/>
          <w:sz w:val="24"/>
          <w:szCs w:val="24"/>
        </w:rPr>
        <w:t>了解</w:t>
      </w:r>
      <w:r w:rsidRPr="00C57452">
        <w:rPr>
          <w:rFonts w:eastAsia="宋体" w:cs="Times New Roman" w:hint="eastAsia"/>
          <w:color w:val="000000"/>
          <w:sz w:val="24"/>
          <w:szCs w:val="24"/>
        </w:rPr>
        <w:t>本公司理财产品购买方式、收费标准及方式等，通过《理财产品说明书》</w:t>
      </w:r>
      <w:r w:rsidRPr="00C57452">
        <w:rPr>
          <w:rFonts w:eastAsia="宋体" w:cs="Times New Roman"/>
          <w:color w:val="000000"/>
          <w:sz w:val="24"/>
          <w:szCs w:val="24"/>
        </w:rPr>
        <w:t>了解产品要素</w:t>
      </w:r>
      <w:r w:rsidRPr="00C57452">
        <w:rPr>
          <w:rFonts w:eastAsia="宋体" w:cs="Times New Roman" w:hint="eastAsia"/>
          <w:color w:val="000000"/>
          <w:sz w:val="24"/>
          <w:szCs w:val="24"/>
        </w:rPr>
        <w:t>。</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非机构投资者在宁银理财直销渠道购买理财产品时，需填写《宁银理财投资者风险承受能力评估书》，了解自身风险承受能力评估情况。非机构投资者在代理销售机构购买理财产品时，风险承受能力评估由代理销售机构负责，应按照代理销售机构的要求进行投资者风险承受能力评估。</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在</w:t>
      </w:r>
      <w:r w:rsidRPr="00C57452">
        <w:rPr>
          <w:rFonts w:eastAsia="宋体" w:cs="Times New Roman"/>
          <w:color w:val="000000"/>
          <w:sz w:val="24"/>
          <w:szCs w:val="24"/>
        </w:rPr>
        <w:t>决定购买前，</w:t>
      </w:r>
      <w:r w:rsidRPr="00C57452">
        <w:rPr>
          <w:rFonts w:eastAsia="宋体" w:cs="Times New Roman" w:hint="eastAsia"/>
          <w:color w:val="000000"/>
          <w:sz w:val="24"/>
          <w:szCs w:val="24"/>
        </w:rPr>
        <w:t>投资者</w:t>
      </w:r>
      <w:r w:rsidRPr="00C57452">
        <w:rPr>
          <w:rFonts w:eastAsia="宋体" w:cs="Times New Roman"/>
          <w:color w:val="000000"/>
          <w:sz w:val="24"/>
          <w:szCs w:val="24"/>
        </w:rPr>
        <w:t>还需</w:t>
      </w:r>
      <w:r w:rsidRPr="00C57452">
        <w:rPr>
          <w:rFonts w:eastAsia="宋体" w:cs="Times New Roman" w:hint="eastAsia"/>
          <w:color w:val="000000"/>
          <w:sz w:val="24"/>
          <w:szCs w:val="24"/>
        </w:rPr>
        <w:t>阅读并签署具体理财产品销售文件，包括但不限于《理财产品说明书》、《风险揭示书》、《销售（代理销售）协议书》、《投资协议书》、《投资者权益须知》，并抄录风险确认语句。</w:t>
      </w:r>
    </w:p>
    <w:p w:rsidR="00C57452" w:rsidRPr="00C57452" w:rsidRDefault="006A53B6" w:rsidP="00C57452">
      <w:pPr>
        <w:pStyle w:val="Normalaa7bb105"/>
        <w:spacing w:line="312" w:lineRule="auto"/>
        <w:ind w:firstLineChars="200" w:firstLine="482"/>
        <w:rPr>
          <w:rFonts w:eastAsia="宋体" w:cs="Times New Roman"/>
          <w:b/>
          <w:bCs/>
          <w:color w:val="000000"/>
          <w:sz w:val="24"/>
          <w:szCs w:val="24"/>
        </w:rPr>
      </w:pPr>
      <w:r w:rsidRPr="00C57452">
        <w:rPr>
          <w:rFonts w:eastAsia="宋体" w:cs="Times New Roman" w:hint="eastAsia"/>
          <w:b/>
          <w:bCs/>
          <w:color w:val="000000"/>
          <w:sz w:val="24"/>
          <w:szCs w:val="24"/>
        </w:rPr>
        <w:t>二、非机构投资者风险承受能力评估</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非机构投资者在宁银理财或代理销售机构首次购买理财产品前，需进行风险承受能力评估。超过</w:t>
      </w:r>
      <w:r w:rsidRPr="00C57452">
        <w:rPr>
          <w:rFonts w:eastAsia="宋体" w:cs="Times New Roman"/>
          <w:color w:val="000000"/>
          <w:sz w:val="24"/>
          <w:szCs w:val="24"/>
        </w:rPr>
        <w:t>一年未进行风险承受能力</w:t>
      </w:r>
      <w:r w:rsidRPr="00C57452">
        <w:rPr>
          <w:rFonts w:eastAsia="宋体" w:cs="Times New Roman" w:hint="eastAsia"/>
          <w:color w:val="000000"/>
          <w:sz w:val="24"/>
          <w:szCs w:val="24"/>
        </w:rPr>
        <w:t>评估或</w:t>
      </w:r>
      <w:r w:rsidRPr="00C57452">
        <w:rPr>
          <w:rFonts w:eastAsia="宋体" w:cs="Times New Roman"/>
          <w:color w:val="000000"/>
          <w:sz w:val="24"/>
          <w:szCs w:val="24"/>
        </w:rPr>
        <w:t>发生可能影响自身风险承受能力情况的投资者，再次购买理财产品前，应当</w:t>
      </w:r>
      <w:r w:rsidRPr="00C57452">
        <w:rPr>
          <w:rFonts w:eastAsia="宋体" w:cs="Times New Roman" w:hint="eastAsia"/>
          <w:color w:val="000000"/>
          <w:sz w:val="24"/>
          <w:szCs w:val="24"/>
        </w:rPr>
        <w:t>在宁银理财或代理销售机构重新完成</w:t>
      </w:r>
      <w:r w:rsidRPr="00C57452">
        <w:rPr>
          <w:rFonts w:eastAsia="宋体" w:cs="Times New Roman"/>
          <w:color w:val="000000"/>
          <w:sz w:val="24"/>
          <w:szCs w:val="24"/>
        </w:rPr>
        <w:t>风险承受能力评估。</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对于</w:t>
      </w:r>
      <w:r w:rsidRPr="00C57452">
        <w:rPr>
          <w:rFonts w:eastAsia="宋体" w:cs="Times New Roman"/>
          <w:color w:val="000000"/>
          <w:sz w:val="24"/>
          <w:szCs w:val="24"/>
        </w:rPr>
        <w:t>通过</w:t>
      </w:r>
      <w:r w:rsidRPr="00C57452">
        <w:rPr>
          <w:rFonts w:eastAsia="宋体" w:cs="Times New Roman" w:hint="eastAsia"/>
          <w:color w:val="000000"/>
          <w:sz w:val="24"/>
          <w:szCs w:val="24"/>
        </w:rPr>
        <w:t>《宁银理财投资者风险承受能力评估书》进行</w:t>
      </w:r>
      <w:r w:rsidRPr="00C57452">
        <w:rPr>
          <w:rFonts w:eastAsia="宋体" w:cs="Times New Roman"/>
          <w:color w:val="000000"/>
          <w:sz w:val="24"/>
          <w:szCs w:val="24"/>
        </w:rPr>
        <w:t>风险</w:t>
      </w:r>
      <w:r w:rsidRPr="00C57452">
        <w:rPr>
          <w:rFonts w:eastAsia="宋体" w:cs="Times New Roman" w:hint="eastAsia"/>
          <w:color w:val="000000"/>
          <w:sz w:val="24"/>
          <w:szCs w:val="24"/>
        </w:rPr>
        <w:t>承受</w:t>
      </w:r>
      <w:r w:rsidRPr="00C57452">
        <w:rPr>
          <w:rFonts w:eastAsia="宋体" w:cs="Times New Roman"/>
          <w:color w:val="000000"/>
          <w:sz w:val="24"/>
          <w:szCs w:val="24"/>
        </w:rPr>
        <w:t>能力评估的投资者，</w:t>
      </w:r>
      <w:r w:rsidRPr="00C57452">
        <w:rPr>
          <w:rFonts w:eastAsia="宋体" w:cs="Times New Roman" w:hint="eastAsia"/>
          <w:color w:val="000000"/>
          <w:sz w:val="24"/>
          <w:szCs w:val="24"/>
        </w:rPr>
        <w:t>风险承受</w:t>
      </w:r>
      <w:r w:rsidRPr="00C57452">
        <w:rPr>
          <w:rFonts w:eastAsia="宋体" w:cs="Times New Roman" w:hint="eastAsia"/>
          <w:color w:val="000000"/>
          <w:sz w:val="24"/>
          <w:szCs w:val="24"/>
        </w:rPr>
        <w:t>能力可分为</w:t>
      </w:r>
      <w:r w:rsidRPr="00C57452">
        <w:rPr>
          <w:rFonts w:eastAsia="宋体" w:cs="Times New Roman" w:hint="eastAsia"/>
          <w:color w:val="000000"/>
          <w:sz w:val="24"/>
          <w:szCs w:val="24"/>
        </w:rPr>
        <w:t>5</w:t>
      </w:r>
      <w:r w:rsidRPr="00C57452">
        <w:rPr>
          <w:rFonts w:eastAsia="宋体" w:cs="Times New Roman" w:hint="eastAsia"/>
          <w:color w:val="000000"/>
          <w:sz w:val="24"/>
          <w:szCs w:val="24"/>
        </w:rPr>
        <w:t>级，由低至高分别为保守型（可以承担低风险而作风谨慎类型的投资者</w:t>
      </w:r>
      <w:r w:rsidRPr="00C57452">
        <w:rPr>
          <w:rFonts w:eastAsia="宋体" w:cs="Times New Roman"/>
          <w:color w:val="000000"/>
          <w:sz w:val="24"/>
          <w:szCs w:val="24"/>
        </w:rPr>
        <w:t>）</w:t>
      </w:r>
      <w:r w:rsidRPr="00C57452">
        <w:rPr>
          <w:rFonts w:eastAsia="宋体" w:cs="Times New Roman" w:hint="eastAsia"/>
          <w:color w:val="000000"/>
          <w:sz w:val="24"/>
          <w:szCs w:val="24"/>
        </w:rPr>
        <w:t>、稳健型（可以承担低至中低风险类型的投资者</w:t>
      </w:r>
      <w:r w:rsidRPr="00C57452">
        <w:rPr>
          <w:rFonts w:eastAsia="宋体" w:cs="Times New Roman"/>
          <w:color w:val="000000"/>
          <w:sz w:val="24"/>
          <w:szCs w:val="24"/>
        </w:rPr>
        <w:t>）</w:t>
      </w:r>
      <w:r w:rsidRPr="00C57452">
        <w:rPr>
          <w:rFonts w:eastAsia="宋体" w:cs="Times New Roman" w:hint="eastAsia"/>
          <w:color w:val="000000"/>
          <w:sz w:val="24"/>
          <w:szCs w:val="24"/>
        </w:rPr>
        <w:t>、平衡型（可以承担中等风险类型的投资者</w:t>
      </w:r>
      <w:r w:rsidRPr="00C57452">
        <w:rPr>
          <w:rFonts w:eastAsia="宋体" w:cs="Times New Roman"/>
          <w:color w:val="000000"/>
          <w:sz w:val="24"/>
          <w:szCs w:val="24"/>
        </w:rPr>
        <w:t>）</w:t>
      </w:r>
      <w:r w:rsidRPr="00C57452">
        <w:rPr>
          <w:rFonts w:eastAsia="宋体" w:cs="Times New Roman" w:hint="eastAsia"/>
          <w:color w:val="000000"/>
          <w:sz w:val="24"/>
          <w:szCs w:val="24"/>
        </w:rPr>
        <w:t>、成长型（可以承担中等至中高风险类型的投资者</w:t>
      </w:r>
      <w:r w:rsidRPr="00C57452">
        <w:rPr>
          <w:rFonts w:eastAsia="宋体" w:cs="Times New Roman"/>
          <w:color w:val="000000"/>
          <w:sz w:val="24"/>
          <w:szCs w:val="24"/>
        </w:rPr>
        <w:t>）</w:t>
      </w:r>
      <w:r w:rsidRPr="00C57452">
        <w:rPr>
          <w:rFonts w:eastAsia="宋体" w:cs="Times New Roman" w:hint="eastAsia"/>
          <w:color w:val="000000"/>
          <w:sz w:val="24"/>
          <w:szCs w:val="24"/>
        </w:rPr>
        <w:t>、进取型（可以承受高风险类型的投资者</w:t>
      </w:r>
      <w:r w:rsidRPr="00C57452">
        <w:rPr>
          <w:rFonts w:eastAsia="宋体" w:cs="Times New Roman"/>
          <w:color w:val="000000"/>
          <w:sz w:val="24"/>
          <w:szCs w:val="24"/>
        </w:rPr>
        <w:t>）</w:t>
      </w:r>
      <w:r w:rsidRPr="00C57452">
        <w:rPr>
          <w:rFonts w:eastAsia="宋体" w:cs="Times New Roman" w:hint="eastAsia"/>
          <w:color w:val="000000"/>
          <w:sz w:val="24"/>
          <w:szCs w:val="24"/>
        </w:rPr>
        <w:t>。投资者应购买与本人风险级别相匹配的理财产品，匹配</w:t>
      </w:r>
      <w:r w:rsidRPr="00C57452">
        <w:rPr>
          <w:rFonts w:eastAsia="宋体" w:cs="Times New Roman"/>
          <w:color w:val="000000"/>
          <w:sz w:val="24"/>
          <w:szCs w:val="24"/>
        </w:rPr>
        <w:t>情况见下表：</w:t>
      </w:r>
    </w:p>
    <w:tbl>
      <w:tblPr>
        <w:tblStyle w:val="13171c7a8"/>
        <w:tblW w:w="9357" w:type="dxa"/>
        <w:tblInd w:w="-431" w:type="dxa"/>
        <w:tblLook w:val="04A0" w:firstRow="1" w:lastRow="0" w:firstColumn="1" w:lastColumn="0" w:noHBand="0" w:noVBand="1"/>
      </w:tblPr>
      <w:tblGrid>
        <w:gridCol w:w="1844"/>
        <w:gridCol w:w="4252"/>
        <w:gridCol w:w="3261"/>
      </w:tblGrid>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t>产品风险等级</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产品</w:t>
            </w:r>
            <w:r w:rsidRPr="00C57452">
              <w:rPr>
                <w:color w:val="000000"/>
                <w:szCs w:val="21"/>
              </w:rPr>
              <w:t>风险</w:t>
            </w:r>
            <w:r w:rsidRPr="00C57452">
              <w:rPr>
                <w:rFonts w:hint="eastAsia"/>
                <w:color w:val="000000"/>
                <w:szCs w:val="21"/>
              </w:rPr>
              <w:t>评级说明</w:t>
            </w:r>
          </w:p>
        </w:tc>
        <w:tc>
          <w:tcPr>
            <w:tcW w:w="3261" w:type="dxa"/>
          </w:tcPr>
          <w:p w:rsidR="00C57452" w:rsidRPr="00C57452" w:rsidRDefault="006A53B6" w:rsidP="00C57452">
            <w:pPr>
              <w:spacing w:line="312" w:lineRule="auto"/>
              <w:rPr>
                <w:color w:val="000000"/>
                <w:szCs w:val="21"/>
              </w:rPr>
            </w:pPr>
            <w:r w:rsidRPr="00C57452">
              <w:rPr>
                <w:rFonts w:hint="eastAsia"/>
                <w:color w:val="000000"/>
                <w:szCs w:val="21"/>
              </w:rPr>
              <w:t>目标投资者</w:t>
            </w:r>
          </w:p>
        </w:tc>
      </w:tr>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t>低风险产品</w:t>
            </w:r>
          </w:p>
          <w:p w:rsidR="00C57452" w:rsidRPr="00C57452" w:rsidRDefault="006A53B6" w:rsidP="00C57452">
            <w:pPr>
              <w:spacing w:line="312" w:lineRule="auto"/>
              <w:rPr>
                <w:color w:val="000000"/>
                <w:szCs w:val="21"/>
              </w:rPr>
            </w:pPr>
            <w:r w:rsidRPr="00C57452">
              <w:rPr>
                <w:rFonts w:hint="eastAsia"/>
                <w:color w:val="000000"/>
                <w:szCs w:val="21"/>
              </w:rPr>
              <w:t>（</w:t>
            </w:r>
            <w:r w:rsidRPr="00C57452">
              <w:rPr>
                <w:color w:val="000000"/>
                <w:szCs w:val="21"/>
              </w:rPr>
              <w:t>PR1</w:t>
            </w:r>
            <w:r w:rsidRPr="00C57452">
              <w:rPr>
                <w:rFonts w:hint="eastAsia"/>
                <w:color w:val="000000"/>
                <w:szCs w:val="21"/>
              </w:rPr>
              <w:t>）</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理财产品的总体风险程度很低，宁银理财不承诺本金的完全保障，净值波动很小。宁银</w:t>
            </w:r>
            <w:r w:rsidRPr="00C57452">
              <w:rPr>
                <w:rFonts w:hint="eastAsia"/>
                <w:color w:val="000000"/>
                <w:szCs w:val="21"/>
              </w:rPr>
              <w:lastRenderedPageBreak/>
              <w:t>理财对于产品本金的正常兑付有较为充分的把握。</w:t>
            </w:r>
          </w:p>
        </w:tc>
        <w:tc>
          <w:tcPr>
            <w:tcW w:w="3261" w:type="dxa"/>
          </w:tcPr>
          <w:p w:rsidR="00C57452" w:rsidRPr="00C57452" w:rsidRDefault="006A53B6" w:rsidP="00C57452">
            <w:pPr>
              <w:spacing w:line="312" w:lineRule="auto"/>
              <w:rPr>
                <w:rFonts w:eastAsia="仿宋_GB2312" w:cs="仿宋_GB2312"/>
                <w:color w:val="000000"/>
                <w:kern w:val="0"/>
                <w:szCs w:val="21"/>
              </w:rPr>
            </w:pPr>
            <w:r w:rsidRPr="00C57452">
              <w:rPr>
                <w:rFonts w:hint="eastAsia"/>
                <w:color w:val="000000"/>
                <w:szCs w:val="21"/>
              </w:rPr>
              <w:lastRenderedPageBreak/>
              <w:t>经</w:t>
            </w:r>
            <w:r w:rsidRPr="00C57452">
              <w:rPr>
                <w:rFonts w:hint="eastAsia"/>
                <w:color w:val="000000"/>
                <w:szCs w:val="21"/>
              </w:rPr>
              <w:t>宁银理财非机构投资者风险承受能力评估为保守型、稳健型、平</w:t>
            </w:r>
            <w:r w:rsidRPr="00C57452">
              <w:rPr>
                <w:rFonts w:hint="eastAsia"/>
                <w:color w:val="000000"/>
                <w:szCs w:val="21"/>
              </w:rPr>
              <w:lastRenderedPageBreak/>
              <w:t>衡型、成长型、进取型的投资者</w:t>
            </w:r>
          </w:p>
        </w:tc>
      </w:tr>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lastRenderedPageBreak/>
              <w:t>中低风险产品（</w:t>
            </w:r>
            <w:r w:rsidRPr="00C57452">
              <w:rPr>
                <w:color w:val="000000"/>
                <w:szCs w:val="21"/>
              </w:rPr>
              <w:t>PR2</w:t>
            </w:r>
            <w:r w:rsidRPr="00C57452">
              <w:rPr>
                <w:rFonts w:hint="eastAsia"/>
                <w:color w:val="000000"/>
                <w:szCs w:val="21"/>
              </w:rPr>
              <w:t>）</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理财产品的总体风险程度较低，宁银理财不承诺本金保障，净值波动较小。虽然存在一些可能对产品本金安全产生不利影响的因素，但产品本金出现损失的可能性较小。</w:t>
            </w:r>
            <w:r w:rsidRPr="00C57452">
              <w:rPr>
                <w:color w:val="000000"/>
                <w:szCs w:val="21"/>
              </w:rPr>
              <w:t xml:space="preserve"> </w:t>
            </w:r>
          </w:p>
        </w:tc>
        <w:tc>
          <w:tcPr>
            <w:tcW w:w="3261" w:type="dxa"/>
          </w:tcPr>
          <w:p w:rsidR="00C57452" w:rsidRPr="00C57452" w:rsidRDefault="006A53B6" w:rsidP="00C57452">
            <w:pPr>
              <w:spacing w:line="312" w:lineRule="auto"/>
              <w:rPr>
                <w:color w:val="000000"/>
                <w:szCs w:val="21"/>
              </w:rPr>
            </w:pPr>
            <w:r w:rsidRPr="00C57452">
              <w:rPr>
                <w:rFonts w:hint="eastAsia"/>
                <w:color w:val="000000"/>
                <w:szCs w:val="21"/>
              </w:rPr>
              <w:t>经宁银理财非机构投资者风险承受能力评估为为稳健型、平衡型、成长型、进取型的投资者</w:t>
            </w:r>
          </w:p>
        </w:tc>
      </w:tr>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t>中风险产品</w:t>
            </w:r>
          </w:p>
          <w:p w:rsidR="00C57452" w:rsidRPr="00C57452" w:rsidRDefault="006A53B6" w:rsidP="00C57452">
            <w:pPr>
              <w:spacing w:line="312" w:lineRule="auto"/>
              <w:rPr>
                <w:color w:val="000000"/>
                <w:szCs w:val="21"/>
              </w:rPr>
            </w:pPr>
            <w:r w:rsidRPr="00C57452">
              <w:rPr>
                <w:rFonts w:hint="eastAsia"/>
                <w:color w:val="000000"/>
                <w:szCs w:val="21"/>
              </w:rPr>
              <w:t>（</w:t>
            </w:r>
            <w:r w:rsidRPr="00C57452">
              <w:rPr>
                <w:color w:val="000000"/>
                <w:szCs w:val="21"/>
              </w:rPr>
              <w:t>PR3</w:t>
            </w:r>
            <w:r w:rsidRPr="00C57452">
              <w:rPr>
                <w:rFonts w:hint="eastAsia"/>
                <w:color w:val="000000"/>
                <w:szCs w:val="21"/>
              </w:rPr>
              <w:t>）</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理财产品的总体风险程度适中，宁银理财不承诺本金保障，净值随投资的市场表现波动较明显，产品本金出现损失的可能性不容忽视。</w:t>
            </w:r>
            <w:r w:rsidRPr="00C57452">
              <w:rPr>
                <w:color w:val="000000"/>
                <w:szCs w:val="21"/>
              </w:rPr>
              <w:t xml:space="preserve"> </w:t>
            </w:r>
          </w:p>
        </w:tc>
        <w:tc>
          <w:tcPr>
            <w:tcW w:w="3261" w:type="dxa"/>
          </w:tcPr>
          <w:p w:rsidR="00C57452" w:rsidRPr="00C57452" w:rsidRDefault="006A53B6" w:rsidP="00C57452">
            <w:pPr>
              <w:spacing w:line="312" w:lineRule="auto"/>
              <w:rPr>
                <w:color w:val="000000"/>
                <w:szCs w:val="21"/>
              </w:rPr>
            </w:pPr>
            <w:r w:rsidRPr="00C57452">
              <w:rPr>
                <w:rFonts w:hint="eastAsia"/>
                <w:color w:val="000000"/>
                <w:szCs w:val="21"/>
              </w:rPr>
              <w:t>经宁银理财非机构投</w:t>
            </w:r>
            <w:r w:rsidRPr="00C57452">
              <w:rPr>
                <w:rFonts w:hint="eastAsia"/>
                <w:color w:val="000000"/>
                <w:szCs w:val="21"/>
              </w:rPr>
              <w:t>资者风险承受能力评估为平衡型、成长型、进取型的投资者</w:t>
            </w:r>
          </w:p>
        </w:tc>
      </w:tr>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t>中</w:t>
            </w:r>
            <w:r w:rsidRPr="00C57452">
              <w:rPr>
                <w:color w:val="000000"/>
                <w:szCs w:val="21"/>
              </w:rPr>
              <w:t>高</w:t>
            </w:r>
            <w:r w:rsidRPr="00C57452">
              <w:rPr>
                <w:rFonts w:hint="eastAsia"/>
                <w:color w:val="000000"/>
                <w:szCs w:val="21"/>
              </w:rPr>
              <w:t>风险产品（</w:t>
            </w:r>
            <w:r w:rsidRPr="00C57452">
              <w:rPr>
                <w:color w:val="000000"/>
                <w:szCs w:val="21"/>
              </w:rPr>
              <w:t>PR4</w:t>
            </w:r>
            <w:r w:rsidRPr="00C57452">
              <w:rPr>
                <w:rFonts w:hint="eastAsia"/>
                <w:color w:val="000000"/>
                <w:szCs w:val="21"/>
              </w:rPr>
              <w:t>）</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理财产品的总体风险程度较高，宁银理财不承诺本金保障，净值随投资的市场表现波动明显，产品本金出现损失的可能性较高。</w:t>
            </w:r>
            <w:r w:rsidRPr="00C57452">
              <w:rPr>
                <w:color w:val="000000"/>
                <w:szCs w:val="21"/>
              </w:rPr>
              <w:t xml:space="preserve"> </w:t>
            </w:r>
          </w:p>
        </w:tc>
        <w:tc>
          <w:tcPr>
            <w:tcW w:w="3261" w:type="dxa"/>
          </w:tcPr>
          <w:p w:rsidR="00C57452" w:rsidRPr="00C57452" w:rsidRDefault="006A53B6" w:rsidP="00C57452">
            <w:pPr>
              <w:spacing w:line="312" w:lineRule="auto"/>
              <w:rPr>
                <w:color w:val="000000"/>
                <w:szCs w:val="21"/>
              </w:rPr>
            </w:pPr>
            <w:r w:rsidRPr="00C57452">
              <w:rPr>
                <w:rFonts w:hint="eastAsia"/>
                <w:color w:val="000000"/>
                <w:szCs w:val="21"/>
              </w:rPr>
              <w:t>经宁银理财非机构投资者风险承受能力评估为成长型、进取型的投资者</w:t>
            </w:r>
          </w:p>
        </w:tc>
      </w:tr>
      <w:tr w:rsidR="00C57452" w:rsidRPr="00C57452" w:rsidTr="004A3D9E">
        <w:tc>
          <w:tcPr>
            <w:tcW w:w="1844" w:type="dxa"/>
          </w:tcPr>
          <w:p w:rsidR="00C57452" w:rsidRPr="00C57452" w:rsidRDefault="006A53B6" w:rsidP="00C57452">
            <w:pPr>
              <w:spacing w:line="312" w:lineRule="auto"/>
              <w:rPr>
                <w:color w:val="000000"/>
                <w:szCs w:val="21"/>
              </w:rPr>
            </w:pPr>
            <w:r w:rsidRPr="00C57452">
              <w:rPr>
                <w:rFonts w:hint="eastAsia"/>
                <w:color w:val="000000"/>
                <w:szCs w:val="21"/>
              </w:rPr>
              <w:t>高风险产品</w:t>
            </w:r>
          </w:p>
          <w:p w:rsidR="00C57452" w:rsidRPr="00C57452" w:rsidRDefault="006A53B6" w:rsidP="00C57452">
            <w:pPr>
              <w:spacing w:line="312" w:lineRule="auto"/>
              <w:rPr>
                <w:color w:val="000000"/>
                <w:szCs w:val="21"/>
              </w:rPr>
            </w:pPr>
            <w:r w:rsidRPr="00C57452">
              <w:rPr>
                <w:rFonts w:hint="eastAsia"/>
                <w:color w:val="000000"/>
                <w:szCs w:val="21"/>
              </w:rPr>
              <w:t>（</w:t>
            </w:r>
            <w:r w:rsidRPr="00C57452">
              <w:rPr>
                <w:color w:val="000000"/>
                <w:szCs w:val="21"/>
              </w:rPr>
              <w:t>PR5</w:t>
            </w:r>
            <w:r w:rsidRPr="00C57452">
              <w:rPr>
                <w:rFonts w:hint="eastAsia"/>
                <w:color w:val="000000"/>
                <w:szCs w:val="21"/>
              </w:rPr>
              <w:t>）</w:t>
            </w:r>
          </w:p>
        </w:tc>
        <w:tc>
          <w:tcPr>
            <w:tcW w:w="4252" w:type="dxa"/>
          </w:tcPr>
          <w:p w:rsidR="00C57452" w:rsidRPr="00C57452" w:rsidRDefault="006A53B6" w:rsidP="00C57452">
            <w:pPr>
              <w:spacing w:line="312" w:lineRule="auto"/>
              <w:rPr>
                <w:color w:val="000000"/>
                <w:szCs w:val="21"/>
              </w:rPr>
            </w:pPr>
            <w:r w:rsidRPr="00C57452">
              <w:rPr>
                <w:rFonts w:hint="eastAsia"/>
                <w:color w:val="000000"/>
                <w:szCs w:val="21"/>
              </w:rPr>
              <w:t>理财产品的总体风险程度高，宁银理财不承诺本金保障，净值随投资的市场表现波动明显，产品本金出现损失的可能性很高，产品本金蒙受全部损失的可能性不容忽视。</w:t>
            </w:r>
            <w:r w:rsidRPr="00C57452">
              <w:rPr>
                <w:color w:val="000000"/>
                <w:szCs w:val="21"/>
              </w:rPr>
              <w:t xml:space="preserve"> </w:t>
            </w:r>
          </w:p>
        </w:tc>
        <w:tc>
          <w:tcPr>
            <w:tcW w:w="3261" w:type="dxa"/>
          </w:tcPr>
          <w:p w:rsidR="00C57452" w:rsidRPr="00C57452" w:rsidRDefault="006A53B6" w:rsidP="00C57452">
            <w:pPr>
              <w:spacing w:line="312" w:lineRule="auto"/>
              <w:rPr>
                <w:color w:val="000000"/>
                <w:szCs w:val="21"/>
              </w:rPr>
            </w:pPr>
            <w:r w:rsidRPr="00C57452">
              <w:rPr>
                <w:rFonts w:hint="eastAsia"/>
                <w:color w:val="000000"/>
                <w:szCs w:val="21"/>
              </w:rPr>
              <w:t>经宁银理财非机构投资者风险承受能力评估为进取型的投资者</w:t>
            </w:r>
          </w:p>
        </w:tc>
      </w:tr>
    </w:tbl>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对于</w:t>
      </w:r>
      <w:r w:rsidRPr="00C57452">
        <w:rPr>
          <w:rFonts w:eastAsia="宋体" w:cs="Times New Roman"/>
          <w:color w:val="000000"/>
          <w:sz w:val="24"/>
          <w:szCs w:val="24"/>
        </w:rPr>
        <w:t>通过</w:t>
      </w:r>
      <w:r w:rsidRPr="00C57452">
        <w:rPr>
          <w:rFonts w:eastAsia="宋体" w:cs="Times New Roman" w:hint="eastAsia"/>
          <w:sz w:val="24"/>
          <w:szCs w:val="24"/>
        </w:rPr>
        <w:t>代理销售</w:t>
      </w:r>
      <w:r w:rsidRPr="00C57452">
        <w:rPr>
          <w:rFonts w:eastAsia="宋体" w:cs="Times New Roman" w:hint="eastAsia"/>
          <w:color w:val="000000"/>
          <w:sz w:val="24"/>
          <w:szCs w:val="24"/>
        </w:rPr>
        <w:t>机构进行</w:t>
      </w:r>
      <w:r w:rsidRPr="00C57452">
        <w:rPr>
          <w:rFonts w:eastAsia="宋体" w:cs="Times New Roman"/>
          <w:color w:val="000000"/>
          <w:sz w:val="24"/>
          <w:szCs w:val="24"/>
        </w:rPr>
        <w:t>风险</w:t>
      </w:r>
      <w:r w:rsidRPr="00C57452">
        <w:rPr>
          <w:rFonts w:eastAsia="宋体" w:cs="Times New Roman" w:hint="eastAsia"/>
          <w:color w:val="000000"/>
          <w:sz w:val="24"/>
          <w:szCs w:val="24"/>
        </w:rPr>
        <w:t>承受能力</w:t>
      </w:r>
      <w:r w:rsidRPr="00C57452">
        <w:rPr>
          <w:rFonts w:eastAsia="宋体" w:cs="Times New Roman"/>
          <w:color w:val="000000"/>
          <w:sz w:val="24"/>
          <w:szCs w:val="24"/>
        </w:rPr>
        <w:t>评估的投资者，</w:t>
      </w:r>
      <w:r w:rsidRPr="00C57452">
        <w:rPr>
          <w:rFonts w:eastAsia="宋体" w:cs="Times New Roman" w:hint="eastAsia"/>
          <w:sz w:val="24"/>
          <w:szCs w:val="24"/>
        </w:rPr>
        <w:t>风险承受能力等级以代理销售机构的评估结果为准</w:t>
      </w:r>
      <w:r w:rsidRPr="00C57452">
        <w:rPr>
          <w:rFonts w:eastAsia="宋体" w:cs="Times New Roman"/>
          <w:color w:val="000000"/>
          <w:sz w:val="24"/>
          <w:szCs w:val="24"/>
        </w:rPr>
        <w:t>。</w:t>
      </w:r>
    </w:p>
    <w:p w:rsidR="00C57452" w:rsidRPr="00C57452" w:rsidRDefault="006A53B6" w:rsidP="00C57452">
      <w:pPr>
        <w:pStyle w:val="Normalaa7bb105"/>
        <w:spacing w:line="312" w:lineRule="auto"/>
        <w:ind w:firstLineChars="200" w:firstLine="482"/>
        <w:rPr>
          <w:rFonts w:eastAsia="宋体" w:cs="Times New Roman"/>
          <w:b/>
          <w:bCs/>
          <w:color w:val="000000"/>
          <w:sz w:val="24"/>
          <w:szCs w:val="24"/>
        </w:rPr>
      </w:pPr>
      <w:r w:rsidRPr="00C57452">
        <w:rPr>
          <w:rFonts w:eastAsia="宋体" w:cs="Times New Roman" w:hint="eastAsia"/>
          <w:b/>
          <w:bCs/>
          <w:color w:val="000000"/>
          <w:sz w:val="24"/>
          <w:szCs w:val="24"/>
        </w:rPr>
        <w:t>三、信息披露</w:t>
      </w:r>
    </w:p>
    <w:p w:rsidR="00C57452" w:rsidRPr="00C57452" w:rsidRDefault="006A53B6" w:rsidP="00C57452">
      <w:pPr>
        <w:pStyle w:val="Normalaa7bb105"/>
        <w:spacing w:line="312" w:lineRule="auto"/>
        <w:ind w:firstLineChars="200" w:firstLine="480"/>
        <w:rPr>
          <w:rFonts w:eastAsia="宋体" w:cs="Times New Roman"/>
          <w:color w:val="000000"/>
          <w:sz w:val="24"/>
          <w:szCs w:val="24"/>
        </w:rPr>
      </w:pPr>
      <w:r w:rsidRPr="00C57452">
        <w:rPr>
          <w:rFonts w:eastAsia="宋体" w:cs="Times New Roman" w:hint="eastAsia"/>
          <w:color w:val="000000"/>
          <w:sz w:val="24"/>
          <w:szCs w:val="24"/>
        </w:rPr>
        <w:t>宁银理财将于理财产品募集期间、存续期间和终止时，通过本公司网站（</w:t>
      </w:r>
      <w:r>
        <w:rPr>
          <w:rFonts w:eastAsia="宋体" w:cs="Times New Roman"/>
          <w:color w:val="000000"/>
          <w:sz w:val="24"/>
          <w:szCs w:val="24"/>
        </w:rPr>
        <w:t>www.wmbnb.com</w:t>
      </w:r>
      <w:r w:rsidRPr="00C57452">
        <w:rPr>
          <w:rFonts w:eastAsia="宋体" w:cs="Times New Roman" w:hint="eastAsia"/>
          <w:color w:val="000000"/>
          <w:sz w:val="24"/>
          <w:szCs w:val="24"/>
        </w:rPr>
        <w:t>）、相关产品代理销售机构官方渠道或</w:t>
      </w:r>
      <w:r w:rsidRPr="00C57452">
        <w:rPr>
          <w:rFonts w:eastAsia="宋体" w:cs="Times New Roman" w:hint="eastAsia"/>
          <w:color w:val="000000"/>
          <w:sz w:val="24"/>
          <w:szCs w:val="24"/>
        </w:rPr>
        <w:t>其他</w:t>
      </w:r>
      <w:r w:rsidRPr="00C57452">
        <w:rPr>
          <w:rFonts w:eastAsia="宋体" w:cs="Times New Roman" w:hint="eastAsia"/>
          <w:color w:val="000000"/>
          <w:sz w:val="24"/>
          <w:szCs w:val="24"/>
        </w:rPr>
        <w:t>适当的方式进行信息披露（具体产品</w:t>
      </w:r>
      <w:r w:rsidRPr="00C57452">
        <w:rPr>
          <w:rFonts w:eastAsia="宋体" w:cs="Times New Roman"/>
          <w:color w:val="000000"/>
          <w:sz w:val="24"/>
          <w:szCs w:val="24"/>
        </w:rPr>
        <w:t>的</w:t>
      </w:r>
      <w:r w:rsidRPr="00C57452">
        <w:rPr>
          <w:rFonts w:eastAsia="宋体" w:cs="Times New Roman" w:hint="eastAsia"/>
          <w:color w:val="000000"/>
          <w:sz w:val="24"/>
          <w:szCs w:val="24"/>
        </w:rPr>
        <w:t>信息披露方式、频率等规则见</w:t>
      </w:r>
      <w:r w:rsidRPr="00C57452">
        <w:rPr>
          <w:rFonts w:eastAsia="宋体" w:cs="Times New Roman" w:hint="eastAsia"/>
          <w:sz w:val="24"/>
          <w:szCs w:val="24"/>
        </w:rPr>
        <w:t>《理财产品说明书》</w:t>
      </w:r>
      <w:r w:rsidRPr="00C57452">
        <w:rPr>
          <w:rFonts w:eastAsia="宋体" w:cs="Times New Roman" w:hint="eastAsia"/>
          <w:color w:val="000000"/>
          <w:sz w:val="24"/>
          <w:szCs w:val="24"/>
        </w:rPr>
        <w:t>）。宁银理财或</w:t>
      </w:r>
      <w:r w:rsidRPr="00C57452">
        <w:rPr>
          <w:rFonts w:eastAsia="宋体" w:cs="Times New Roman"/>
          <w:color w:val="000000"/>
          <w:sz w:val="24"/>
          <w:szCs w:val="24"/>
        </w:rPr>
        <w:t>代理销售机构</w:t>
      </w:r>
      <w:r w:rsidRPr="00C57452">
        <w:rPr>
          <w:rFonts w:eastAsia="宋体" w:cs="Times New Roman" w:hint="eastAsia"/>
          <w:color w:val="000000"/>
          <w:sz w:val="24"/>
          <w:szCs w:val="24"/>
        </w:rPr>
        <w:t>通过理财产品销售</w:t>
      </w:r>
      <w:r w:rsidRPr="00C57452">
        <w:rPr>
          <w:rFonts w:eastAsia="宋体" w:cs="Times New Roman"/>
          <w:color w:val="000000"/>
          <w:sz w:val="24"/>
          <w:szCs w:val="24"/>
        </w:rPr>
        <w:t>文件</w:t>
      </w:r>
      <w:r w:rsidRPr="00C57452">
        <w:rPr>
          <w:rFonts w:eastAsia="宋体" w:cs="Times New Roman" w:hint="eastAsia"/>
          <w:color w:val="000000"/>
          <w:sz w:val="24"/>
          <w:szCs w:val="24"/>
        </w:rPr>
        <w:t>约定</w:t>
      </w:r>
      <w:r w:rsidRPr="00C57452">
        <w:rPr>
          <w:rFonts w:eastAsia="宋体" w:cs="Times New Roman"/>
          <w:color w:val="000000"/>
          <w:sz w:val="24"/>
          <w:szCs w:val="24"/>
        </w:rPr>
        <w:t>方式披露信息后，</w:t>
      </w:r>
      <w:r w:rsidRPr="00C57452">
        <w:rPr>
          <w:rFonts w:eastAsia="宋体" w:cs="Times New Roman" w:hint="eastAsia"/>
          <w:color w:val="000000"/>
          <w:sz w:val="24"/>
          <w:szCs w:val="24"/>
        </w:rPr>
        <w:t>视为宁银理财已</w:t>
      </w:r>
      <w:r w:rsidRPr="00C57452">
        <w:rPr>
          <w:rFonts w:eastAsia="宋体" w:cs="Times New Roman"/>
          <w:color w:val="000000"/>
          <w:sz w:val="24"/>
          <w:szCs w:val="24"/>
        </w:rPr>
        <w:t>向</w:t>
      </w:r>
      <w:r w:rsidRPr="00C57452">
        <w:rPr>
          <w:rFonts w:eastAsia="宋体" w:cs="Times New Roman" w:hint="eastAsia"/>
          <w:color w:val="000000"/>
          <w:sz w:val="24"/>
          <w:szCs w:val="24"/>
        </w:rPr>
        <w:t>投资者</w:t>
      </w:r>
      <w:r w:rsidRPr="00C57452">
        <w:rPr>
          <w:rFonts w:eastAsia="宋体" w:cs="Times New Roman"/>
          <w:color w:val="000000"/>
          <w:sz w:val="24"/>
          <w:szCs w:val="24"/>
        </w:rPr>
        <w:t>完全履行信息披露义务</w:t>
      </w:r>
      <w:r w:rsidRPr="00C57452">
        <w:rPr>
          <w:rFonts w:eastAsia="宋体" w:cs="Times New Roman" w:hint="eastAsia"/>
          <w:color w:val="000000"/>
          <w:sz w:val="24"/>
          <w:szCs w:val="24"/>
        </w:rPr>
        <w:t>，投资者应依据理财产品销售文件的约定，及时通过宁银理财网站、客服热线或</w:t>
      </w:r>
      <w:r w:rsidRPr="00C57452">
        <w:rPr>
          <w:rFonts w:eastAsia="宋体" w:cs="Times New Roman"/>
          <w:color w:val="000000"/>
          <w:sz w:val="24"/>
          <w:szCs w:val="24"/>
        </w:rPr>
        <w:t>相关</w:t>
      </w:r>
      <w:r w:rsidRPr="00C57452">
        <w:rPr>
          <w:rFonts w:eastAsia="宋体" w:cs="Times New Roman" w:hint="eastAsia"/>
          <w:color w:val="000000"/>
          <w:sz w:val="24"/>
          <w:szCs w:val="24"/>
        </w:rPr>
        <w:t>产品</w:t>
      </w:r>
      <w:r w:rsidRPr="00C57452">
        <w:rPr>
          <w:rFonts w:eastAsia="宋体" w:cs="Times New Roman"/>
          <w:color w:val="000000"/>
          <w:sz w:val="24"/>
          <w:szCs w:val="24"/>
        </w:rPr>
        <w:t>代理销售机构</w:t>
      </w:r>
      <w:r w:rsidRPr="00C57452">
        <w:rPr>
          <w:rFonts w:eastAsia="宋体" w:cs="Times New Roman" w:hint="eastAsia"/>
          <w:color w:val="000000"/>
          <w:sz w:val="24"/>
          <w:szCs w:val="24"/>
        </w:rPr>
        <w:t>官方渠道</w:t>
      </w:r>
      <w:r w:rsidRPr="00C57452">
        <w:rPr>
          <w:rFonts w:eastAsia="宋体" w:cs="Times New Roman"/>
          <w:color w:val="000000"/>
          <w:sz w:val="24"/>
          <w:szCs w:val="24"/>
        </w:rPr>
        <w:t>进行</w:t>
      </w:r>
      <w:r w:rsidRPr="00C57452">
        <w:rPr>
          <w:rFonts w:eastAsia="宋体" w:cs="Times New Roman" w:hint="eastAsia"/>
          <w:color w:val="000000"/>
          <w:sz w:val="24"/>
          <w:szCs w:val="24"/>
        </w:rPr>
        <w:t>查询。</w:t>
      </w:r>
    </w:p>
    <w:p w:rsidR="00C57452" w:rsidRPr="00C57452" w:rsidRDefault="006A53B6" w:rsidP="00C57452">
      <w:pPr>
        <w:pStyle w:val="Normalaa7bb105"/>
        <w:spacing w:line="312" w:lineRule="auto"/>
        <w:ind w:firstLineChars="200" w:firstLine="482"/>
        <w:rPr>
          <w:rFonts w:eastAsia="宋体" w:cs="Times New Roman"/>
          <w:b/>
          <w:bCs/>
          <w:color w:val="000000"/>
          <w:sz w:val="24"/>
          <w:szCs w:val="24"/>
        </w:rPr>
      </w:pPr>
      <w:r w:rsidRPr="00C57452">
        <w:rPr>
          <w:rFonts w:eastAsia="宋体" w:cs="Times New Roman" w:hint="eastAsia"/>
          <w:b/>
          <w:bCs/>
          <w:color w:val="000000"/>
          <w:sz w:val="24"/>
          <w:szCs w:val="24"/>
        </w:rPr>
        <w:t>四、投资者信息管理</w:t>
      </w:r>
    </w:p>
    <w:p w:rsidR="00C57452" w:rsidRPr="00C57452" w:rsidRDefault="006A53B6" w:rsidP="00C57452">
      <w:pPr>
        <w:pStyle w:val="Normalaa7bb105"/>
        <w:spacing w:line="360" w:lineRule="auto"/>
        <w:ind w:firstLineChars="200" w:firstLine="480"/>
        <w:rPr>
          <w:rFonts w:eastAsia="宋体" w:cs="Times New Roman"/>
          <w:sz w:val="24"/>
          <w:szCs w:val="24"/>
        </w:rPr>
      </w:pPr>
      <w:r w:rsidRPr="00C57452">
        <w:rPr>
          <w:rFonts w:eastAsia="宋体" w:cs="Times New Roman"/>
          <w:sz w:val="24"/>
          <w:szCs w:val="24"/>
        </w:rPr>
        <w:t>基于</w:t>
      </w:r>
      <w:r w:rsidRPr="00C57452">
        <w:rPr>
          <w:rFonts w:eastAsia="宋体" w:cs="Times New Roman" w:hint="eastAsia"/>
          <w:color w:val="000000"/>
          <w:sz w:val="24"/>
          <w:szCs w:val="24"/>
        </w:rPr>
        <w:t>宁银理财</w:t>
      </w:r>
      <w:r w:rsidRPr="00C57452">
        <w:rPr>
          <w:rFonts w:eastAsia="宋体" w:cs="Times New Roman"/>
          <w:sz w:val="24"/>
          <w:szCs w:val="24"/>
        </w:rPr>
        <w:t>履行</w:t>
      </w:r>
      <w:r w:rsidRPr="00C57452">
        <w:rPr>
          <w:rFonts w:eastAsia="宋体" w:cs="Times New Roman" w:hint="eastAsia"/>
          <w:sz w:val="24"/>
          <w:szCs w:val="24"/>
        </w:rPr>
        <w:t>理财产品销售文件所载明的各项义务</w:t>
      </w:r>
      <w:r w:rsidRPr="00C57452">
        <w:rPr>
          <w:rFonts w:eastAsia="宋体" w:cs="Times New Roman"/>
          <w:sz w:val="24"/>
          <w:szCs w:val="24"/>
        </w:rPr>
        <w:t>、进行服务管理和风险管理、报送监管信息</w:t>
      </w:r>
      <w:r w:rsidRPr="00C57452">
        <w:rPr>
          <w:rFonts w:eastAsia="宋体" w:cs="Times New Roman" w:hint="eastAsia"/>
          <w:sz w:val="24"/>
          <w:szCs w:val="24"/>
        </w:rPr>
        <w:t>、</w:t>
      </w:r>
      <w:r w:rsidRPr="00C57452">
        <w:rPr>
          <w:rFonts w:eastAsia="宋体" w:cs="Times New Roman"/>
          <w:sz w:val="24"/>
          <w:szCs w:val="24"/>
        </w:rPr>
        <w:t>履行反洗钱、</w:t>
      </w:r>
      <w:r w:rsidRPr="00C57452">
        <w:rPr>
          <w:rFonts w:eastAsia="宋体" w:cs="Times New Roman" w:hint="eastAsia"/>
          <w:sz w:val="24"/>
          <w:szCs w:val="24"/>
        </w:rPr>
        <w:t>反恐怖融资、非居民金融账户涉税信息尽职调查、</w:t>
      </w:r>
      <w:r w:rsidRPr="00C57452">
        <w:rPr>
          <w:rFonts w:eastAsia="宋体" w:cs="Times New Roman"/>
          <w:sz w:val="24"/>
          <w:szCs w:val="24"/>
        </w:rPr>
        <w:t>投资者资质审核和销售适当性等法律法规和监管要求的义务</w:t>
      </w:r>
      <w:r w:rsidRPr="00C57452">
        <w:rPr>
          <w:rFonts w:eastAsia="宋体" w:cs="Times New Roman" w:hint="eastAsia"/>
          <w:sz w:val="24"/>
          <w:szCs w:val="24"/>
        </w:rPr>
        <w:t>的</w:t>
      </w:r>
      <w:r w:rsidRPr="00C57452">
        <w:rPr>
          <w:rFonts w:eastAsia="宋体" w:cs="Times New Roman"/>
          <w:sz w:val="24"/>
          <w:szCs w:val="24"/>
        </w:rPr>
        <w:t>需要，</w:t>
      </w:r>
      <w:r w:rsidRPr="00C57452">
        <w:rPr>
          <w:rFonts w:eastAsia="宋体" w:cs="Times New Roman" w:hint="eastAsia"/>
          <w:b/>
          <w:color w:val="000000"/>
          <w:sz w:val="24"/>
          <w:szCs w:val="24"/>
        </w:rPr>
        <w:t>宁银理财有权</w:t>
      </w:r>
      <w:r w:rsidRPr="00C57452">
        <w:rPr>
          <w:rFonts w:eastAsia="宋体" w:cs="Times New Roman"/>
          <w:b/>
          <w:sz w:val="24"/>
          <w:szCs w:val="24"/>
        </w:rPr>
        <w:t>在业务办理或履行过程中</w:t>
      </w:r>
      <w:r w:rsidRPr="00C57452">
        <w:rPr>
          <w:rFonts w:eastAsia="宋体" w:cs="Times New Roman" w:hint="eastAsia"/>
          <w:b/>
          <w:sz w:val="24"/>
          <w:szCs w:val="24"/>
        </w:rPr>
        <w:t>直接或通过代理销售机构间接获取并报送投资者身份信息、账户信息及其持有理财产品等信息；</w:t>
      </w:r>
      <w:r w:rsidRPr="00C57452">
        <w:rPr>
          <w:rFonts w:eastAsia="宋体" w:cs="Times New Roman"/>
          <w:b/>
          <w:sz w:val="24"/>
          <w:szCs w:val="24"/>
        </w:rPr>
        <w:t>在</w:t>
      </w:r>
      <w:r w:rsidRPr="00C57452">
        <w:rPr>
          <w:rFonts w:eastAsia="宋体" w:cs="Times New Roman" w:hint="eastAsia"/>
          <w:b/>
          <w:color w:val="000000"/>
          <w:sz w:val="24"/>
          <w:szCs w:val="24"/>
        </w:rPr>
        <w:t>宁银理财</w:t>
      </w:r>
      <w:r w:rsidRPr="00C57452">
        <w:rPr>
          <w:rFonts w:eastAsia="宋体" w:cs="Times New Roman"/>
          <w:b/>
          <w:sz w:val="24"/>
          <w:szCs w:val="24"/>
        </w:rPr>
        <w:t>办理本协议项下相关事项所必需的情形下，</w:t>
      </w:r>
      <w:r w:rsidRPr="00C57452">
        <w:rPr>
          <w:rFonts w:eastAsia="宋体" w:cs="Times New Roman" w:hint="eastAsia"/>
          <w:b/>
          <w:sz w:val="24"/>
          <w:szCs w:val="24"/>
        </w:rPr>
        <w:t>授权宁银理财</w:t>
      </w:r>
      <w:r w:rsidRPr="00C57452">
        <w:rPr>
          <w:rFonts w:eastAsia="宋体" w:cs="Times New Roman"/>
          <w:b/>
          <w:sz w:val="24"/>
          <w:szCs w:val="24"/>
        </w:rPr>
        <w:t>向</w:t>
      </w:r>
      <w:r w:rsidRPr="00C57452">
        <w:rPr>
          <w:rFonts w:eastAsia="宋体" w:cs="Times New Roman" w:hint="eastAsia"/>
          <w:b/>
          <w:color w:val="000000"/>
          <w:sz w:val="24"/>
          <w:szCs w:val="24"/>
        </w:rPr>
        <w:t>宁银理财</w:t>
      </w:r>
      <w:r w:rsidRPr="00C57452">
        <w:rPr>
          <w:rFonts w:eastAsia="宋体" w:cs="Times New Roman"/>
          <w:b/>
          <w:sz w:val="24"/>
          <w:szCs w:val="24"/>
        </w:rPr>
        <w:t>集团成员、服务机构及其</w:t>
      </w:r>
      <w:r w:rsidRPr="00C57452">
        <w:rPr>
          <w:rFonts w:eastAsia="宋体" w:cs="Times New Roman"/>
          <w:b/>
          <w:sz w:val="24"/>
          <w:szCs w:val="24"/>
        </w:rPr>
        <w:lastRenderedPageBreak/>
        <w:t>他</w:t>
      </w:r>
      <w:r w:rsidRPr="00C57452">
        <w:rPr>
          <w:rFonts w:eastAsia="宋体" w:cs="Times New Roman" w:hint="eastAsia"/>
          <w:b/>
          <w:color w:val="000000"/>
          <w:sz w:val="24"/>
          <w:szCs w:val="24"/>
        </w:rPr>
        <w:t>宁银理财</w:t>
      </w:r>
      <w:r w:rsidRPr="00C57452">
        <w:rPr>
          <w:rFonts w:eastAsia="宋体" w:cs="Times New Roman"/>
          <w:b/>
          <w:sz w:val="24"/>
          <w:szCs w:val="24"/>
        </w:rPr>
        <w:t>认为必要的业务合作机构（包括但不限于代理销售机构）提供</w:t>
      </w:r>
      <w:r w:rsidRPr="00C57452">
        <w:rPr>
          <w:rFonts w:eastAsia="宋体" w:cs="Times New Roman" w:hint="eastAsia"/>
          <w:b/>
          <w:color w:val="000000"/>
          <w:sz w:val="24"/>
          <w:szCs w:val="24"/>
        </w:rPr>
        <w:t>宁银理财</w:t>
      </w:r>
      <w:r w:rsidRPr="00C57452">
        <w:rPr>
          <w:rFonts w:eastAsia="宋体" w:cs="Times New Roman"/>
          <w:b/>
          <w:sz w:val="24"/>
          <w:szCs w:val="24"/>
        </w:rPr>
        <w:t>获取的</w:t>
      </w:r>
      <w:r w:rsidRPr="00C57452">
        <w:rPr>
          <w:rFonts w:eastAsia="宋体" w:cs="Times New Roman" w:hint="eastAsia"/>
          <w:b/>
          <w:sz w:val="24"/>
          <w:szCs w:val="24"/>
        </w:rPr>
        <w:t>投资者</w:t>
      </w:r>
      <w:r w:rsidRPr="00C57452">
        <w:rPr>
          <w:rFonts w:eastAsia="宋体" w:cs="Times New Roman"/>
          <w:b/>
          <w:sz w:val="24"/>
          <w:szCs w:val="24"/>
        </w:rPr>
        <w:t>信息，范围包括但不限于</w:t>
      </w:r>
      <w:r w:rsidRPr="00C57452">
        <w:rPr>
          <w:rFonts w:eastAsia="宋体" w:cs="Times New Roman" w:hint="eastAsia"/>
          <w:b/>
          <w:sz w:val="24"/>
          <w:szCs w:val="24"/>
        </w:rPr>
        <w:t>投资者</w:t>
      </w:r>
      <w:r w:rsidRPr="00C57452">
        <w:rPr>
          <w:rFonts w:eastAsia="宋体" w:cs="Times New Roman"/>
          <w:b/>
          <w:sz w:val="24"/>
          <w:szCs w:val="24"/>
        </w:rPr>
        <w:t>的身份信息、账户信息等</w:t>
      </w:r>
      <w:r>
        <w:rPr>
          <w:rFonts w:eastAsia="宋体" w:cs="Times New Roman" w:hint="eastAsia"/>
          <w:b/>
          <w:sz w:val="24"/>
          <w:szCs w:val="24"/>
        </w:rPr>
        <w:t>，</w:t>
      </w:r>
      <w:r w:rsidRPr="00920A37">
        <w:rPr>
          <w:rFonts w:eastAsia="宋体" w:cs="Times New Roman" w:hint="eastAsia"/>
          <w:b/>
          <w:sz w:val="24"/>
          <w:szCs w:val="24"/>
        </w:rPr>
        <w:t>授权使用时限与提供前述服务及履行相关法律法规和监管要求义务的必要时限一致</w:t>
      </w:r>
      <w:r w:rsidRPr="00C57452">
        <w:rPr>
          <w:rFonts w:eastAsia="宋体" w:cs="Times New Roman"/>
          <w:b/>
          <w:sz w:val="24"/>
          <w:szCs w:val="24"/>
        </w:rPr>
        <w:t>。接收信息的上述第三方将为处理本协议项下事务之目的接触并按照</w:t>
      </w:r>
      <w:r w:rsidRPr="00C57452">
        <w:rPr>
          <w:rFonts w:eastAsia="宋体" w:cs="Times New Roman" w:hint="eastAsia"/>
          <w:b/>
          <w:color w:val="000000"/>
          <w:sz w:val="24"/>
          <w:szCs w:val="24"/>
        </w:rPr>
        <w:t>宁银理财</w:t>
      </w:r>
      <w:r w:rsidRPr="00C57452">
        <w:rPr>
          <w:rFonts w:eastAsia="宋体" w:cs="Times New Roman"/>
          <w:b/>
          <w:sz w:val="24"/>
          <w:szCs w:val="24"/>
        </w:rPr>
        <w:t>的业务需要使用</w:t>
      </w:r>
      <w:r w:rsidRPr="00C57452">
        <w:rPr>
          <w:rFonts w:eastAsia="宋体" w:cs="Times New Roman" w:hint="eastAsia"/>
          <w:b/>
          <w:sz w:val="24"/>
          <w:szCs w:val="24"/>
        </w:rPr>
        <w:t>投资者</w:t>
      </w:r>
      <w:r w:rsidRPr="00C57452">
        <w:rPr>
          <w:rFonts w:eastAsia="宋体" w:cs="Times New Roman"/>
          <w:b/>
          <w:sz w:val="24"/>
          <w:szCs w:val="24"/>
        </w:rPr>
        <w:t>信息。</w:t>
      </w:r>
      <w:r w:rsidRPr="00C57452">
        <w:rPr>
          <w:rFonts w:eastAsia="宋体" w:cs="Times New Roman" w:hint="eastAsia"/>
          <w:color w:val="000000"/>
          <w:sz w:val="24"/>
          <w:szCs w:val="24"/>
        </w:rPr>
        <w:t>宁银理财</w:t>
      </w:r>
      <w:r w:rsidRPr="00C57452">
        <w:rPr>
          <w:rFonts w:eastAsia="宋体" w:cs="Times New Roman"/>
          <w:sz w:val="24"/>
          <w:szCs w:val="24"/>
        </w:rPr>
        <w:t>承诺将向有关第三方明确其保护</w:t>
      </w:r>
      <w:r w:rsidRPr="00C57452">
        <w:rPr>
          <w:rFonts w:eastAsia="宋体" w:cs="Times New Roman" w:hint="eastAsia"/>
          <w:sz w:val="24"/>
          <w:szCs w:val="24"/>
        </w:rPr>
        <w:t>投资者信息的职责并要求第三方承担相应保密义务。</w:t>
      </w:r>
      <w:r>
        <w:rPr>
          <w:rFonts w:eastAsia="宋体" w:cs="Times New Roman" w:hint="eastAsia"/>
          <w:sz w:val="24"/>
          <w:szCs w:val="24"/>
        </w:rPr>
        <w:t>宁银理财将妥善保管投资者理财产品销售相关资料，保管年限不</w:t>
      </w:r>
      <w:r w:rsidRPr="00AC1025">
        <w:rPr>
          <w:rFonts w:eastAsia="宋体" w:cs="Times New Roman" w:hint="eastAsia"/>
          <w:sz w:val="24"/>
          <w:szCs w:val="24"/>
        </w:rPr>
        <w:t>低于法规规定的年限；超出必要保管期限后，宁银理财、销售机构及其他第三方合作机构（如有）将及时删除投资者的档案（包括以电子化形式以及纸质文</w:t>
      </w:r>
      <w:r w:rsidRPr="00AC1025">
        <w:rPr>
          <w:rFonts w:eastAsia="宋体" w:cs="Times New Roman" w:hint="eastAsia"/>
          <w:sz w:val="24"/>
          <w:szCs w:val="24"/>
        </w:rPr>
        <w:t>本形式保管的投资者个人信息）。</w:t>
      </w:r>
    </w:p>
    <w:p w:rsidR="00C57452" w:rsidRPr="00C57452" w:rsidRDefault="006A53B6" w:rsidP="00C57452">
      <w:pPr>
        <w:pStyle w:val="Normalaa7bb105"/>
        <w:spacing w:line="312" w:lineRule="auto"/>
        <w:ind w:firstLineChars="200" w:firstLine="482"/>
        <w:outlineLvl w:val="0"/>
        <w:rPr>
          <w:rFonts w:eastAsia="宋体" w:cs="Times New Roman"/>
          <w:b/>
          <w:bCs/>
          <w:color w:val="000000"/>
          <w:sz w:val="24"/>
          <w:szCs w:val="24"/>
        </w:rPr>
      </w:pPr>
      <w:r w:rsidRPr="00C57452">
        <w:rPr>
          <w:rFonts w:eastAsia="宋体" w:cs="Times New Roman" w:hint="eastAsia"/>
          <w:b/>
          <w:bCs/>
          <w:color w:val="000000"/>
          <w:sz w:val="24"/>
          <w:szCs w:val="24"/>
        </w:rPr>
        <w:t>五、投诉及建议</w:t>
      </w:r>
    </w:p>
    <w:p w:rsidR="00C57452" w:rsidRPr="00C57452" w:rsidRDefault="006A53B6" w:rsidP="00C57452">
      <w:pPr>
        <w:pStyle w:val="Normalaa7bb105"/>
        <w:spacing w:line="312" w:lineRule="auto"/>
        <w:ind w:firstLineChars="200" w:firstLine="482"/>
        <w:rPr>
          <w:rFonts w:eastAsia="宋体" w:cs="Times New Roman"/>
          <w:b/>
          <w:color w:val="000000"/>
          <w:sz w:val="24"/>
          <w:szCs w:val="24"/>
        </w:rPr>
      </w:pPr>
      <w:r w:rsidRPr="00C57452">
        <w:rPr>
          <w:rFonts w:eastAsia="宋体" w:cs="Times New Roman" w:hint="eastAsia"/>
          <w:b/>
          <w:color w:val="000000"/>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C57452" w:rsidRPr="00C57452" w:rsidRDefault="006A53B6" w:rsidP="00C57452">
      <w:pPr>
        <w:pStyle w:val="Normalaa7bb105"/>
        <w:spacing w:line="312" w:lineRule="auto"/>
        <w:ind w:firstLineChars="200" w:firstLine="482"/>
        <w:rPr>
          <w:rFonts w:eastAsia="宋体" w:cs="Times New Roman"/>
          <w:b/>
          <w:bCs/>
          <w:color w:val="000000"/>
          <w:sz w:val="24"/>
          <w:szCs w:val="24"/>
        </w:rPr>
      </w:pPr>
      <w:r w:rsidRPr="00C57452">
        <w:rPr>
          <w:rFonts w:eastAsia="宋体" w:cs="Times New Roman" w:hint="eastAsia"/>
          <w:b/>
          <w:bCs/>
          <w:color w:val="000000"/>
          <w:sz w:val="24"/>
          <w:szCs w:val="24"/>
        </w:rPr>
        <w:t>六</w:t>
      </w:r>
      <w:r w:rsidRPr="00C57452">
        <w:rPr>
          <w:rFonts w:eastAsia="宋体" w:cs="Times New Roman"/>
          <w:b/>
          <w:bCs/>
          <w:color w:val="000000"/>
          <w:sz w:val="24"/>
          <w:szCs w:val="24"/>
        </w:rPr>
        <w:t>、</w:t>
      </w:r>
      <w:r w:rsidRPr="00C57452">
        <w:rPr>
          <w:rFonts w:eastAsia="宋体" w:cs="Times New Roman" w:hint="eastAsia"/>
          <w:b/>
          <w:bCs/>
          <w:color w:val="000000"/>
          <w:sz w:val="24"/>
          <w:szCs w:val="24"/>
        </w:rPr>
        <w:t>宁银理财</w:t>
      </w:r>
      <w:r w:rsidRPr="00C57452">
        <w:rPr>
          <w:rFonts w:eastAsia="宋体" w:cs="Times New Roman"/>
          <w:b/>
          <w:bCs/>
          <w:color w:val="000000"/>
          <w:sz w:val="24"/>
          <w:szCs w:val="24"/>
        </w:rPr>
        <w:t>联络方式</w:t>
      </w:r>
    </w:p>
    <w:p w:rsidR="00C57452" w:rsidRPr="00C57452" w:rsidRDefault="006A53B6" w:rsidP="0041149A">
      <w:pPr>
        <w:pStyle w:val="13532e74"/>
        <w:ind w:left="420" w:firstLine="420"/>
      </w:pPr>
      <w:r w:rsidRPr="00C57452">
        <w:rPr>
          <w:rFonts w:hint="eastAsia"/>
        </w:rPr>
        <w:t>客服</w:t>
      </w:r>
      <w:r w:rsidRPr="00C57452">
        <w:t>热线</w:t>
      </w:r>
      <w:r w:rsidRPr="00C57452">
        <w:rPr>
          <w:rFonts w:hint="eastAsia"/>
        </w:rPr>
        <w:t>：</w:t>
      </w:r>
      <w:r w:rsidRPr="00800EBC">
        <w:t>400-099-5574</w:t>
      </w:r>
    </w:p>
    <w:p w:rsidR="00C57452" w:rsidRPr="00C57452" w:rsidRDefault="006A53B6" w:rsidP="0041149A">
      <w:pPr>
        <w:pStyle w:val="13532e74"/>
        <w:ind w:left="420" w:firstLine="420"/>
      </w:pPr>
      <w:r w:rsidRPr="00C57452">
        <w:rPr>
          <w:rFonts w:hint="eastAsia"/>
        </w:rPr>
        <w:t>官方网站</w:t>
      </w:r>
      <w:r w:rsidRPr="00C57452">
        <w:t>：</w:t>
      </w:r>
      <w:r>
        <w:t>www.wmbnb.com</w:t>
      </w:r>
    </w:p>
    <w:p w:rsidR="00C57452" w:rsidRPr="00C57452" w:rsidRDefault="006A53B6" w:rsidP="00C57452">
      <w:pPr>
        <w:pStyle w:val="Normalaa7bb105"/>
        <w:spacing w:line="312" w:lineRule="auto"/>
        <w:ind w:firstLine="480"/>
        <w:rPr>
          <w:rFonts w:ascii="Times New Roman" w:eastAsia="宋体" w:hAnsi="Times New Roman" w:cs="Times New Roman"/>
          <w:b/>
          <w:bCs/>
          <w:sz w:val="24"/>
          <w:szCs w:val="24"/>
        </w:rPr>
      </w:pPr>
      <w:r w:rsidRPr="00C57452">
        <w:rPr>
          <w:rFonts w:ascii="Times New Roman" w:eastAsia="宋体" w:hAnsi="Times New Roman" w:cs="Times New Roman" w:hint="eastAsia"/>
          <w:b/>
          <w:bCs/>
          <w:sz w:val="24"/>
          <w:szCs w:val="24"/>
        </w:rPr>
        <w:t>七、代理销售机构联络方式</w:t>
      </w:r>
    </w:p>
    <w:p w:rsidR="00FA6D1D" w:rsidRPr="00FA6D1D" w:rsidRDefault="006A53B6" w:rsidP="002E2523">
      <w:pPr>
        <w:pStyle w:val="Normalaa7bb105"/>
        <w:widowControl/>
        <w:ind w:left="420" w:firstLine="420"/>
        <w:jc w:val="left"/>
        <w:rPr>
          <w:rFonts w:eastAsia="宋体" w:cs="Times New Roman"/>
          <w:color w:val="000000"/>
          <w:sz w:val="24"/>
          <w:szCs w:val="24"/>
        </w:rPr>
      </w:pPr>
      <w:r w:rsidRPr="00610D0A">
        <w:rPr>
          <w:rFonts w:eastAsia="宋体" w:cs="Times New Roman" w:hint="eastAsia"/>
          <w:color w:val="000000"/>
          <w:sz w:val="24"/>
          <w:szCs w:val="24"/>
        </w:rPr>
        <w:t>代理销售机构联系方式详见《理财产品说明书》</w:t>
      </w:r>
    </w:p>
    <w:sectPr w:rsidR="00FA6D1D" w:rsidRPr="00FA6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B6" w:rsidRDefault="006A53B6" w:rsidP="00955911">
      <w:r>
        <w:separator/>
      </w:r>
    </w:p>
  </w:endnote>
  <w:endnote w:type="continuationSeparator" w:id="0">
    <w:p w:rsidR="006A53B6" w:rsidRDefault="006A53B6" w:rsidP="00955911">
      <w:r>
        <w:continuationSeparator/>
      </w:r>
    </w:p>
  </w:endnote>
  <w:endnote w:type="continuationNotice" w:id="1">
    <w:p w:rsidR="006A53B6" w:rsidRDefault="006A5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ËÎÌå">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B6" w:rsidRDefault="006A53B6" w:rsidP="00955911">
      <w:r>
        <w:separator/>
      </w:r>
    </w:p>
  </w:footnote>
  <w:footnote w:type="continuationSeparator" w:id="0">
    <w:p w:rsidR="006A53B6" w:rsidRDefault="006A53B6" w:rsidP="00955911">
      <w:r>
        <w:continuationSeparator/>
      </w:r>
    </w:p>
  </w:footnote>
  <w:footnote w:type="continuationNotice" w:id="1">
    <w:p w:rsidR="006A53B6" w:rsidRDefault="006A53B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A18"/>
    <w:multiLevelType w:val="hybridMultilevel"/>
    <w:tmpl w:val="B4F0DBAA"/>
    <w:lvl w:ilvl="0" w:tplc="FDE86EF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66B69EE"/>
    <w:multiLevelType w:val="multilevel"/>
    <w:tmpl w:val="4170DB98"/>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92E4F6D"/>
    <w:multiLevelType w:val="hybridMultilevel"/>
    <w:tmpl w:val="A29817E6"/>
    <w:lvl w:ilvl="0" w:tplc="E90C0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C932F5"/>
    <w:multiLevelType w:val="hybridMultilevel"/>
    <w:tmpl w:val="5650AB56"/>
    <w:lvl w:ilvl="0" w:tplc="0144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7D6236"/>
    <w:multiLevelType w:val="hybridMultilevel"/>
    <w:tmpl w:val="072A44D0"/>
    <w:lvl w:ilvl="0" w:tplc="C74AE4BE">
      <w:start w:val="1"/>
      <w:numFmt w:val="decimal"/>
      <w:lvlText w:val="%1、"/>
      <w:lvlJc w:val="left"/>
      <w:pPr>
        <w:ind w:left="690" w:hanging="360"/>
      </w:pPr>
      <w:rPr>
        <w:rFonts w:cs="黑体" w:hint="default"/>
        <w:u w:val="none"/>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5" w15:restartNumberingAfterBreak="0">
    <w:nsid w:val="178C7F62"/>
    <w:multiLevelType w:val="hybridMultilevel"/>
    <w:tmpl w:val="6018F6C6"/>
    <w:lvl w:ilvl="0" w:tplc="35AC88A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427BE9"/>
    <w:multiLevelType w:val="hybridMultilevel"/>
    <w:tmpl w:val="CEF4DBD6"/>
    <w:lvl w:ilvl="0" w:tplc="78DC1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634BBE"/>
    <w:multiLevelType w:val="hybridMultilevel"/>
    <w:tmpl w:val="104A4E08"/>
    <w:lvl w:ilvl="0" w:tplc="35AC88A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9B2177"/>
    <w:multiLevelType w:val="hybridMultilevel"/>
    <w:tmpl w:val="F1D623C8"/>
    <w:lvl w:ilvl="0" w:tplc="35AC88A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054FA3"/>
    <w:multiLevelType w:val="hybridMultilevel"/>
    <w:tmpl w:val="D9726D5A"/>
    <w:lvl w:ilvl="0" w:tplc="E90C0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5E1EE5"/>
    <w:multiLevelType w:val="hybridMultilevel"/>
    <w:tmpl w:val="DFE61D6A"/>
    <w:lvl w:ilvl="0" w:tplc="35AC88A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C75CF2"/>
    <w:multiLevelType w:val="hybridMultilevel"/>
    <w:tmpl w:val="15A82A58"/>
    <w:lvl w:ilvl="0" w:tplc="C74AE4BE">
      <w:start w:val="1"/>
      <w:numFmt w:val="decimal"/>
      <w:lvlText w:val="%1、"/>
      <w:lvlJc w:val="left"/>
      <w:pPr>
        <w:ind w:left="690" w:hanging="360"/>
      </w:pPr>
      <w:rPr>
        <w:rFonts w:cs="黑体" w:hint="default"/>
        <w:u w:val="none"/>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2" w15:restartNumberingAfterBreak="0">
    <w:nsid w:val="359C5ACC"/>
    <w:multiLevelType w:val="hybridMultilevel"/>
    <w:tmpl w:val="0E0E6F40"/>
    <w:lvl w:ilvl="0" w:tplc="87ECF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F44F30"/>
    <w:multiLevelType w:val="multilevel"/>
    <w:tmpl w:val="577EFB36"/>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3EBD285E"/>
    <w:multiLevelType w:val="hybridMultilevel"/>
    <w:tmpl w:val="960EFE92"/>
    <w:lvl w:ilvl="0" w:tplc="7FDC8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3C2DEE"/>
    <w:multiLevelType w:val="hybridMultilevel"/>
    <w:tmpl w:val="7046CB02"/>
    <w:lvl w:ilvl="0" w:tplc="CFA4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12165B"/>
    <w:multiLevelType w:val="hybridMultilevel"/>
    <w:tmpl w:val="A54A97EC"/>
    <w:lvl w:ilvl="0" w:tplc="87ECF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4F1928"/>
    <w:multiLevelType w:val="hybridMultilevel"/>
    <w:tmpl w:val="B3FA2950"/>
    <w:lvl w:ilvl="0" w:tplc="0144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A53663"/>
    <w:multiLevelType w:val="hybridMultilevel"/>
    <w:tmpl w:val="4434EBA6"/>
    <w:lvl w:ilvl="0" w:tplc="5AD4E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9C1A41"/>
    <w:multiLevelType w:val="hybridMultilevel"/>
    <w:tmpl w:val="D06C4620"/>
    <w:lvl w:ilvl="0" w:tplc="CFA4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00022F"/>
    <w:multiLevelType w:val="hybridMultilevel"/>
    <w:tmpl w:val="EC32C892"/>
    <w:lvl w:ilvl="0" w:tplc="35AC88A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E7186B"/>
    <w:multiLevelType w:val="hybridMultilevel"/>
    <w:tmpl w:val="F9F00F44"/>
    <w:lvl w:ilvl="0" w:tplc="0144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9012E2"/>
    <w:multiLevelType w:val="hybridMultilevel"/>
    <w:tmpl w:val="1D70C4C6"/>
    <w:lvl w:ilvl="0" w:tplc="78DC1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517ED1"/>
    <w:multiLevelType w:val="hybridMultilevel"/>
    <w:tmpl w:val="DCD45D06"/>
    <w:lvl w:ilvl="0" w:tplc="78DC1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D81D72"/>
    <w:multiLevelType w:val="hybridMultilevel"/>
    <w:tmpl w:val="9D72B554"/>
    <w:lvl w:ilvl="0" w:tplc="5AD4E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A2353E"/>
    <w:multiLevelType w:val="hybridMultilevel"/>
    <w:tmpl w:val="99364578"/>
    <w:lvl w:ilvl="0" w:tplc="C74AE4BE">
      <w:start w:val="1"/>
      <w:numFmt w:val="decimal"/>
      <w:lvlText w:val="%1、"/>
      <w:lvlJc w:val="left"/>
      <w:pPr>
        <w:ind w:left="690" w:hanging="360"/>
      </w:pPr>
      <w:rPr>
        <w:rFonts w:cs="黑体" w:hint="default"/>
        <w:u w:val="none"/>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26" w15:restartNumberingAfterBreak="0">
    <w:nsid w:val="6DA52C0F"/>
    <w:multiLevelType w:val="hybridMultilevel"/>
    <w:tmpl w:val="050CE050"/>
    <w:lvl w:ilvl="0" w:tplc="5AD4E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353FB3"/>
    <w:multiLevelType w:val="hybridMultilevel"/>
    <w:tmpl w:val="D6ECA4EA"/>
    <w:lvl w:ilvl="0" w:tplc="7FDC8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1E4AB7"/>
    <w:multiLevelType w:val="hybridMultilevel"/>
    <w:tmpl w:val="0A583A6E"/>
    <w:lvl w:ilvl="0" w:tplc="CFA4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00466"/>
    <w:multiLevelType w:val="hybridMultilevel"/>
    <w:tmpl w:val="CE28723C"/>
    <w:lvl w:ilvl="0" w:tplc="E90C0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A83ECF"/>
    <w:multiLevelType w:val="hybridMultilevel"/>
    <w:tmpl w:val="B33EC790"/>
    <w:lvl w:ilvl="0" w:tplc="FDE86EF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15:restartNumberingAfterBreak="0">
    <w:nsid w:val="7905005F"/>
    <w:multiLevelType w:val="hybridMultilevel"/>
    <w:tmpl w:val="F0604C44"/>
    <w:lvl w:ilvl="0" w:tplc="FDE86EF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15:restartNumberingAfterBreak="0">
    <w:nsid w:val="7B292403"/>
    <w:multiLevelType w:val="hybridMultilevel"/>
    <w:tmpl w:val="9F06131A"/>
    <w:lvl w:ilvl="0" w:tplc="7FDC8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415984"/>
    <w:multiLevelType w:val="hybridMultilevel"/>
    <w:tmpl w:val="A6D008AA"/>
    <w:lvl w:ilvl="0" w:tplc="87ECF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F9D7F48"/>
    <w:multiLevelType w:val="multilevel"/>
    <w:tmpl w:val="8E62CA72"/>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34"/>
  </w:num>
  <w:num w:numId="2">
    <w:abstractNumId w:val="31"/>
  </w:num>
  <w:num w:numId="3">
    <w:abstractNumId w:val="5"/>
  </w:num>
  <w:num w:numId="4">
    <w:abstractNumId w:val="15"/>
  </w:num>
  <w:num w:numId="5">
    <w:abstractNumId w:val="2"/>
  </w:num>
  <w:num w:numId="6">
    <w:abstractNumId w:val="27"/>
  </w:num>
  <w:num w:numId="7">
    <w:abstractNumId w:val="12"/>
  </w:num>
  <w:num w:numId="8">
    <w:abstractNumId w:val="22"/>
  </w:num>
  <w:num w:numId="9">
    <w:abstractNumId w:val="21"/>
  </w:num>
  <w:num w:numId="10">
    <w:abstractNumId w:val="4"/>
  </w:num>
  <w:num w:numId="11">
    <w:abstractNumId w:val="24"/>
  </w:num>
  <w:num w:numId="12">
    <w:abstractNumId w:val="8"/>
  </w:num>
  <w:num w:numId="13">
    <w:abstractNumId w:val="8"/>
  </w:num>
  <w:num w:numId="14">
    <w:abstractNumId w:val="1"/>
  </w:num>
  <w:num w:numId="15">
    <w:abstractNumId w:val="30"/>
  </w:num>
  <w:num w:numId="16">
    <w:abstractNumId w:val="19"/>
  </w:num>
  <w:num w:numId="17">
    <w:abstractNumId w:val="29"/>
  </w:num>
  <w:num w:numId="18">
    <w:abstractNumId w:val="32"/>
  </w:num>
  <w:num w:numId="19">
    <w:abstractNumId w:val="33"/>
  </w:num>
  <w:num w:numId="20">
    <w:abstractNumId w:val="23"/>
  </w:num>
  <w:num w:numId="21">
    <w:abstractNumId w:val="3"/>
  </w:num>
  <w:num w:numId="22">
    <w:abstractNumId w:val="25"/>
  </w:num>
  <w:num w:numId="23">
    <w:abstractNumId w:val="18"/>
  </w:num>
  <w:num w:numId="24">
    <w:abstractNumId w:val="10"/>
  </w:num>
  <w:num w:numId="25">
    <w:abstractNumId w:val="10"/>
  </w:num>
  <w:num w:numId="26">
    <w:abstractNumId w:val="13"/>
  </w:num>
  <w:num w:numId="27">
    <w:abstractNumId w:val="0"/>
  </w:num>
  <w:num w:numId="28">
    <w:abstractNumId w:val="28"/>
  </w:num>
  <w:num w:numId="29">
    <w:abstractNumId w:val="9"/>
  </w:num>
  <w:num w:numId="30">
    <w:abstractNumId w:val="14"/>
  </w:num>
  <w:num w:numId="31">
    <w:abstractNumId w:val="16"/>
  </w:num>
  <w:num w:numId="32">
    <w:abstractNumId w:val="6"/>
  </w:num>
  <w:num w:numId="33">
    <w:abstractNumId w:val="17"/>
  </w:num>
  <w:num w:numId="34">
    <w:abstractNumId w:val="1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C6"/>
    <w:rsid w:val="00001DDB"/>
    <w:rsid w:val="00003AA1"/>
    <w:rsid w:val="00003EBD"/>
    <w:rsid w:val="0000451F"/>
    <w:rsid w:val="000048EA"/>
    <w:rsid w:val="0000550F"/>
    <w:rsid w:val="00005CBA"/>
    <w:rsid w:val="00007F89"/>
    <w:rsid w:val="0001533F"/>
    <w:rsid w:val="000174F6"/>
    <w:rsid w:val="00017722"/>
    <w:rsid w:val="00031A60"/>
    <w:rsid w:val="00034C41"/>
    <w:rsid w:val="00036BB0"/>
    <w:rsid w:val="00036D2A"/>
    <w:rsid w:val="00037102"/>
    <w:rsid w:val="000416B9"/>
    <w:rsid w:val="00044F8E"/>
    <w:rsid w:val="00050371"/>
    <w:rsid w:val="000507E2"/>
    <w:rsid w:val="0005319F"/>
    <w:rsid w:val="000540AD"/>
    <w:rsid w:val="00057968"/>
    <w:rsid w:val="00057C6E"/>
    <w:rsid w:val="0006071F"/>
    <w:rsid w:val="000651FC"/>
    <w:rsid w:val="000700ED"/>
    <w:rsid w:val="00070DF8"/>
    <w:rsid w:val="00074994"/>
    <w:rsid w:val="00080D59"/>
    <w:rsid w:val="00082CE8"/>
    <w:rsid w:val="000838F2"/>
    <w:rsid w:val="000853EA"/>
    <w:rsid w:val="00086903"/>
    <w:rsid w:val="00086A32"/>
    <w:rsid w:val="000901A3"/>
    <w:rsid w:val="00093CC7"/>
    <w:rsid w:val="00094FE4"/>
    <w:rsid w:val="000A2DFC"/>
    <w:rsid w:val="000A4BD2"/>
    <w:rsid w:val="000A5F27"/>
    <w:rsid w:val="000B02CD"/>
    <w:rsid w:val="000B7BC0"/>
    <w:rsid w:val="000C1E53"/>
    <w:rsid w:val="000C5178"/>
    <w:rsid w:val="000C69AD"/>
    <w:rsid w:val="000D15F3"/>
    <w:rsid w:val="000D3970"/>
    <w:rsid w:val="000D5D78"/>
    <w:rsid w:val="000E26E3"/>
    <w:rsid w:val="000E4625"/>
    <w:rsid w:val="000E611F"/>
    <w:rsid w:val="000E7012"/>
    <w:rsid w:val="000E7390"/>
    <w:rsid w:val="000F0CA8"/>
    <w:rsid w:val="000F0F60"/>
    <w:rsid w:val="000F455C"/>
    <w:rsid w:val="000F5D6E"/>
    <w:rsid w:val="000F642C"/>
    <w:rsid w:val="000F7233"/>
    <w:rsid w:val="0010039D"/>
    <w:rsid w:val="00101E49"/>
    <w:rsid w:val="0010696D"/>
    <w:rsid w:val="001076A7"/>
    <w:rsid w:val="00112AB6"/>
    <w:rsid w:val="00113FE0"/>
    <w:rsid w:val="00116FC4"/>
    <w:rsid w:val="00117548"/>
    <w:rsid w:val="00117678"/>
    <w:rsid w:val="00117F12"/>
    <w:rsid w:val="00122B6B"/>
    <w:rsid w:val="001237FC"/>
    <w:rsid w:val="0012480E"/>
    <w:rsid w:val="00131131"/>
    <w:rsid w:val="00132C8B"/>
    <w:rsid w:val="00134602"/>
    <w:rsid w:val="001369B6"/>
    <w:rsid w:val="00137183"/>
    <w:rsid w:val="00140379"/>
    <w:rsid w:val="00141F64"/>
    <w:rsid w:val="00144026"/>
    <w:rsid w:val="00150F72"/>
    <w:rsid w:val="00152567"/>
    <w:rsid w:val="00152867"/>
    <w:rsid w:val="00152F10"/>
    <w:rsid w:val="00154C6C"/>
    <w:rsid w:val="00155222"/>
    <w:rsid w:val="00161212"/>
    <w:rsid w:val="00161939"/>
    <w:rsid w:val="00171724"/>
    <w:rsid w:val="0017557E"/>
    <w:rsid w:val="00175DE9"/>
    <w:rsid w:val="0017603E"/>
    <w:rsid w:val="00181355"/>
    <w:rsid w:val="00183646"/>
    <w:rsid w:val="00184ACA"/>
    <w:rsid w:val="001858D0"/>
    <w:rsid w:val="001904C4"/>
    <w:rsid w:val="0019073E"/>
    <w:rsid w:val="00190D09"/>
    <w:rsid w:val="001942BF"/>
    <w:rsid w:val="00194A07"/>
    <w:rsid w:val="00195E32"/>
    <w:rsid w:val="001A122F"/>
    <w:rsid w:val="001A32BD"/>
    <w:rsid w:val="001A3354"/>
    <w:rsid w:val="001A33B3"/>
    <w:rsid w:val="001A4B84"/>
    <w:rsid w:val="001A51C6"/>
    <w:rsid w:val="001A5D17"/>
    <w:rsid w:val="001A7628"/>
    <w:rsid w:val="001B242E"/>
    <w:rsid w:val="001B2D03"/>
    <w:rsid w:val="001B6116"/>
    <w:rsid w:val="001B666C"/>
    <w:rsid w:val="001C3804"/>
    <w:rsid w:val="001C4E46"/>
    <w:rsid w:val="001C5892"/>
    <w:rsid w:val="001C6124"/>
    <w:rsid w:val="001C7891"/>
    <w:rsid w:val="001D195C"/>
    <w:rsid w:val="001D30BF"/>
    <w:rsid w:val="001D3F8A"/>
    <w:rsid w:val="001D788A"/>
    <w:rsid w:val="001D7957"/>
    <w:rsid w:val="001E0A8C"/>
    <w:rsid w:val="001E1673"/>
    <w:rsid w:val="001E26B2"/>
    <w:rsid w:val="001E3E2F"/>
    <w:rsid w:val="001F116D"/>
    <w:rsid w:val="001F1357"/>
    <w:rsid w:val="001F3912"/>
    <w:rsid w:val="001F3A8D"/>
    <w:rsid w:val="001F3FFF"/>
    <w:rsid w:val="001F42EA"/>
    <w:rsid w:val="001F4543"/>
    <w:rsid w:val="001F4934"/>
    <w:rsid w:val="002007C4"/>
    <w:rsid w:val="00203D36"/>
    <w:rsid w:val="00205ECE"/>
    <w:rsid w:val="002065E9"/>
    <w:rsid w:val="00207B15"/>
    <w:rsid w:val="00211642"/>
    <w:rsid w:val="002126EC"/>
    <w:rsid w:val="00214B6A"/>
    <w:rsid w:val="002169BC"/>
    <w:rsid w:val="00223C9C"/>
    <w:rsid w:val="002242CE"/>
    <w:rsid w:val="0022538B"/>
    <w:rsid w:val="00225BB8"/>
    <w:rsid w:val="002262A4"/>
    <w:rsid w:val="00227432"/>
    <w:rsid w:val="002300EA"/>
    <w:rsid w:val="00234001"/>
    <w:rsid w:val="002362A5"/>
    <w:rsid w:val="002369D6"/>
    <w:rsid w:val="00237C16"/>
    <w:rsid w:val="00243466"/>
    <w:rsid w:val="002441C3"/>
    <w:rsid w:val="00245DCD"/>
    <w:rsid w:val="00247BE9"/>
    <w:rsid w:val="0025035D"/>
    <w:rsid w:val="00250802"/>
    <w:rsid w:val="00250CE2"/>
    <w:rsid w:val="00250E9B"/>
    <w:rsid w:val="00252F4A"/>
    <w:rsid w:val="00260F20"/>
    <w:rsid w:val="002619BF"/>
    <w:rsid w:val="002666C6"/>
    <w:rsid w:val="00271E95"/>
    <w:rsid w:val="00272D0D"/>
    <w:rsid w:val="00273D95"/>
    <w:rsid w:val="00274AA1"/>
    <w:rsid w:val="002764EE"/>
    <w:rsid w:val="00276AC3"/>
    <w:rsid w:val="0027734A"/>
    <w:rsid w:val="0028187D"/>
    <w:rsid w:val="00281DEF"/>
    <w:rsid w:val="002852E1"/>
    <w:rsid w:val="00285590"/>
    <w:rsid w:val="00285DA3"/>
    <w:rsid w:val="002864DE"/>
    <w:rsid w:val="002905AF"/>
    <w:rsid w:val="00290B53"/>
    <w:rsid w:val="002926F4"/>
    <w:rsid w:val="002927B2"/>
    <w:rsid w:val="002A1466"/>
    <w:rsid w:val="002A217F"/>
    <w:rsid w:val="002A2BE3"/>
    <w:rsid w:val="002A30FE"/>
    <w:rsid w:val="002A39E8"/>
    <w:rsid w:val="002A47B2"/>
    <w:rsid w:val="002A7438"/>
    <w:rsid w:val="002B1EDC"/>
    <w:rsid w:val="002B2436"/>
    <w:rsid w:val="002B3764"/>
    <w:rsid w:val="002B4E8E"/>
    <w:rsid w:val="002B56A6"/>
    <w:rsid w:val="002C2419"/>
    <w:rsid w:val="002C3825"/>
    <w:rsid w:val="002C3837"/>
    <w:rsid w:val="002C4EAE"/>
    <w:rsid w:val="002C55F0"/>
    <w:rsid w:val="002C6D29"/>
    <w:rsid w:val="002C7DCC"/>
    <w:rsid w:val="002D2047"/>
    <w:rsid w:val="002D31F7"/>
    <w:rsid w:val="002D3207"/>
    <w:rsid w:val="002D3554"/>
    <w:rsid w:val="002D4315"/>
    <w:rsid w:val="002D61AC"/>
    <w:rsid w:val="002E0866"/>
    <w:rsid w:val="002E29B6"/>
    <w:rsid w:val="002E2EBF"/>
    <w:rsid w:val="002E3D53"/>
    <w:rsid w:val="002E49C3"/>
    <w:rsid w:val="002E5377"/>
    <w:rsid w:val="002E54FB"/>
    <w:rsid w:val="002E5FD5"/>
    <w:rsid w:val="002E6913"/>
    <w:rsid w:val="002F299C"/>
    <w:rsid w:val="002F4B7F"/>
    <w:rsid w:val="002F7917"/>
    <w:rsid w:val="00300F96"/>
    <w:rsid w:val="00301699"/>
    <w:rsid w:val="00304C19"/>
    <w:rsid w:val="0030538E"/>
    <w:rsid w:val="00306FD9"/>
    <w:rsid w:val="00310FD3"/>
    <w:rsid w:val="003147C0"/>
    <w:rsid w:val="00317607"/>
    <w:rsid w:val="003249D0"/>
    <w:rsid w:val="00325E46"/>
    <w:rsid w:val="00326DCF"/>
    <w:rsid w:val="00327BFF"/>
    <w:rsid w:val="00330E74"/>
    <w:rsid w:val="00332595"/>
    <w:rsid w:val="00332AF0"/>
    <w:rsid w:val="00333043"/>
    <w:rsid w:val="0033359C"/>
    <w:rsid w:val="00333A43"/>
    <w:rsid w:val="0033738C"/>
    <w:rsid w:val="00342225"/>
    <w:rsid w:val="0034794B"/>
    <w:rsid w:val="00350774"/>
    <w:rsid w:val="00351D8F"/>
    <w:rsid w:val="00360D01"/>
    <w:rsid w:val="00363C68"/>
    <w:rsid w:val="003674F9"/>
    <w:rsid w:val="00367EC6"/>
    <w:rsid w:val="00376166"/>
    <w:rsid w:val="003776C6"/>
    <w:rsid w:val="003833E2"/>
    <w:rsid w:val="003846CE"/>
    <w:rsid w:val="003851BD"/>
    <w:rsid w:val="00390D57"/>
    <w:rsid w:val="003914A2"/>
    <w:rsid w:val="00393852"/>
    <w:rsid w:val="003940C3"/>
    <w:rsid w:val="00394695"/>
    <w:rsid w:val="003A2BCA"/>
    <w:rsid w:val="003A50C5"/>
    <w:rsid w:val="003A517F"/>
    <w:rsid w:val="003A752B"/>
    <w:rsid w:val="003A79F4"/>
    <w:rsid w:val="003B1392"/>
    <w:rsid w:val="003B3A87"/>
    <w:rsid w:val="003C0A15"/>
    <w:rsid w:val="003C45E6"/>
    <w:rsid w:val="003C73C4"/>
    <w:rsid w:val="003C76A1"/>
    <w:rsid w:val="003D111E"/>
    <w:rsid w:val="003D13B9"/>
    <w:rsid w:val="003D1E86"/>
    <w:rsid w:val="003D254B"/>
    <w:rsid w:val="003D393A"/>
    <w:rsid w:val="003D74E5"/>
    <w:rsid w:val="003E0AE9"/>
    <w:rsid w:val="003E40EC"/>
    <w:rsid w:val="003E485D"/>
    <w:rsid w:val="003E4C64"/>
    <w:rsid w:val="003E7BFE"/>
    <w:rsid w:val="003F2DC2"/>
    <w:rsid w:val="003F34A9"/>
    <w:rsid w:val="003F5155"/>
    <w:rsid w:val="003F5263"/>
    <w:rsid w:val="003F63B1"/>
    <w:rsid w:val="003F6C1B"/>
    <w:rsid w:val="003F7392"/>
    <w:rsid w:val="003F7820"/>
    <w:rsid w:val="003F7A4D"/>
    <w:rsid w:val="00400436"/>
    <w:rsid w:val="004025AA"/>
    <w:rsid w:val="00404296"/>
    <w:rsid w:val="00411C58"/>
    <w:rsid w:val="00412E71"/>
    <w:rsid w:val="00414917"/>
    <w:rsid w:val="00417569"/>
    <w:rsid w:val="004212BC"/>
    <w:rsid w:val="00430E48"/>
    <w:rsid w:val="0043119F"/>
    <w:rsid w:val="00431BC0"/>
    <w:rsid w:val="00432F42"/>
    <w:rsid w:val="004342F3"/>
    <w:rsid w:val="004348E0"/>
    <w:rsid w:val="00437551"/>
    <w:rsid w:val="004413BC"/>
    <w:rsid w:val="00441D0B"/>
    <w:rsid w:val="0044281A"/>
    <w:rsid w:val="00443ABB"/>
    <w:rsid w:val="0045346B"/>
    <w:rsid w:val="00456180"/>
    <w:rsid w:val="0045683D"/>
    <w:rsid w:val="00462F3C"/>
    <w:rsid w:val="00463EE2"/>
    <w:rsid w:val="00464806"/>
    <w:rsid w:val="00465A2E"/>
    <w:rsid w:val="00467C8F"/>
    <w:rsid w:val="00472A50"/>
    <w:rsid w:val="00473D12"/>
    <w:rsid w:val="00474424"/>
    <w:rsid w:val="00476056"/>
    <w:rsid w:val="004802C3"/>
    <w:rsid w:val="0048181C"/>
    <w:rsid w:val="0048676B"/>
    <w:rsid w:val="004908EA"/>
    <w:rsid w:val="00494BB2"/>
    <w:rsid w:val="004953C6"/>
    <w:rsid w:val="00497F55"/>
    <w:rsid w:val="004A30A4"/>
    <w:rsid w:val="004A3460"/>
    <w:rsid w:val="004A6341"/>
    <w:rsid w:val="004A65C8"/>
    <w:rsid w:val="004A68F9"/>
    <w:rsid w:val="004B04B2"/>
    <w:rsid w:val="004B0B57"/>
    <w:rsid w:val="004B31AC"/>
    <w:rsid w:val="004B74BD"/>
    <w:rsid w:val="004C07F4"/>
    <w:rsid w:val="004C097A"/>
    <w:rsid w:val="004C5D44"/>
    <w:rsid w:val="004D4A6E"/>
    <w:rsid w:val="004D4D4F"/>
    <w:rsid w:val="004D5DE8"/>
    <w:rsid w:val="004E393F"/>
    <w:rsid w:val="004E4298"/>
    <w:rsid w:val="004E7E00"/>
    <w:rsid w:val="004F0653"/>
    <w:rsid w:val="004F2420"/>
    <w:rsid w:val="004F77F6"/>
    <w:rsid w:val="00500404"/>
    <w:rsid w:val="0050086C"/>
    <w:rsid w:val="0050286A"/>
    <w:rsid w:val="00503B41"/>
    <w:rsid w:val="00506097"/>
    <w:rsid w:val="00507B3B"/>
    <w:rsid w:val="00510046"/>
    <w:rsid w:val="00510AA6"/>
    <w:rsid w:val="005116B8"/>
    <w:rsid w:val="00513F65"/>
    <w:rsid w:val="00521E09"/>
    <w:rsid w:val="0052226A"/>
    <w:rsid w:val="0052397C"/>
    <w:rsid w:val="005242C0"/>
    <w:rsid w:val="00525A34"/>
    <w:rsid w:val="0053298F"/>
    <w:rsid w:val="00533ABA"/>
    <w:rsid w:val="00533DC2"/>
    <w:rsid w:val="00535FDE"/>
    <w:rsid w:val="00536787"/>
    <w:rsid w:val="005419A3"/>
    <w:rsid w:val="00542B83"/>
    <w:rsid w:val="00543288"/>
    <w:rsid w:val="00543B5C"/>
    <w:rsid w:val="00543D78"/>
    <w:rsid w:val="00544897"/>
    <w:rsid w:val="00544B91"/>
    <w:rsid w:val="00544B94"/>
    <w:rsid w:val="00544D38"/>
    <w:rsid w:val="005460C9"/>
    <w:rsid w:val="0054686E"/>
    <w:rsid w:val="00551B1D"/>
    <w:rsid w:val="0055376C"/>
    <w:rsid w:val="00554B76"/>
    <w:rsid w:val="00557E54"/>
    <w:rsid w:val="005605BC"/>
    <w:rsid w:val="005649E1"/>
    <w:rsid w:val="00564CAE"/>
    <w:rsid w:val="00566C72"/>
    <w:rsid w:val="00566D64"/>
    <w:rsid w:val="00571705"/>
    <w:rsid w:val="005720BB"/>
    <w:rsid w:val="00572383"/>
    <w:rsid w:val="00576573"/>
    <w:rsid w:val="00580069"/>
    <w:rsid w:val="00580758"/>
    <w:rsid w:val="00580CBF"/>
    <w:rsid w:val="00582B53"/>
    <w:rsid w:val="00583174"/>
    <w:rsid w:val="0058605A"/>
    <w:rsid w:val="00587626"/>
    <w:rsid w:val="00591578"/>
    <w:rsid w:val="00591FA7"/>
    <w:rsid w:val="005924D9"/>
    <w:rsid w:val="00597B25"/>
    <w:rsid w:val="005A2313"/>
    <w:rsid w:val="005A49BD"/>
    <w:rsid w:val="005A6B84"/>
    <w:rsid w:val="005B3606"/>
    <w:rsid w:val="005B4C1E"/>
    <w:rsid w:val="005B58CA"/>
    <w:rsid w:val="005B7004"/>
    <w:rsid w:val="005C2282"/>
    <w:rsid w:val="005C7063"/>
    <w:rsid w:val="005D2180"/>
    <w:rsid w:val="005D6162"/>
    <w:rsid w:val="005D6399"/>
    <w:rsid w:val="005E116E"/>
    <w:rsid w:val="005E1A77"/>
    <w:rsid w:val="005E35DA"/>
    <w:rsid w:val="005E3835"/>
    <w:rsid w:val="005E3A12"/>
    <w:rsid w:val="005E3E65"/>
    <w:rsid w:val="005E3ED1"/>
    <w:rsid w:val="005E5833"/>
    <w:rsid w:val="005E6293"/>
    <w:rsid w:val="005F03A9"/>
    <w:rsid w:val="005F08B9"/>
    <w:rsid w:val="005F0ECB"/>
    <w:rsid w:val="005F12FA"/>
    <w:rsid w:val="005F4888"/>
    <w:rsid w:val="005F4CFC"/>
    <w:rsid w:val="005F4EDB"/>
    <w:rsid w:val="0060086C"/>
    <w:rsid w:val="00601F1B"/>
    <w:rsid w:val="00602A90"/>
    <w:rsid w:val="00603327"/>
    <w:rsid w:val="00604159"/>
    <w:rsid w:val="00607B20"/>
    <w:rsid w:val="006103E8"/>
    <w:rsid w:val="00613C4A"/>
    <w:rsid w:val="00613DCB"/>
    <w:rsid w:val="00616B02"/>
    <w:rsid w:val="00616B32"/>
    <w:rsid w:val="00616F1D"/>
    <w:rsid w:val="00622C9F"/>
    <w:rsid w:val="00630DC3"/>
    <w:rsid w:val="00631038"/>
    <w:rsid w:val="00632C12"/>
    <w:rsid w:val="00633F5F"/>
    <w:rsid w:val="006362EC"/>
    <w:rsid w:val="00637F38"/>
    <w:rsid w:val="00640E97"/>
    <w:rsid w:val="00643FED"/>
    <w:rsid w:val="00647648"/>
    <w:rsid w:val="00651E53"/>
    <w:rsid w:val="00654B7E"/>
    <w:rsid w:val="00662662"/>
    <w:rsid w:val="00663914"/>
    <w:rsid w:val="00663B22"/>
    <w:rsid w:val="00664AD8"/>
    <w:rsid w:val="0066564A"/>
    <w:rsid w:val="0066632E"/>
    <w:rsid w:val="006666CB"/>
    <w:rsid w:val="00666C39"/>
    <w:rsid w:val="006729D7"/>
    <w:rsid w:val="006736A5"/>
    <w:rsid w:val="006737FD"/>
    <w:rsid w:val="00674A37"/>
    <w:rsid w:val="00675DA2"/>
    <w:rsid w:val="006766CA"/>
    <w:rsid w:val="006776C3"/>
    <w:rsid w:val="006827AF"/>
    <w:rsid w:val="006831E3"/>
    <w:rsid w:val="00684022"/>
    <w:rsid w:val="00690119"/>
    <w:rsid w:val="0069122C"/>
    <w:rsid w:val="006915E9"/>
    <w:rsid w:val="00691909"/>
    <w:rsid w:val="00691920"/>
    <w:rsid w:val="00692D20"/>
    <w:rsid w:val="00692DB3"/>
    <w:rsid w:val="006930C4"/>
    <w:rsid w:val="00696B4B"/>
    <w:rsid w:val="00697140"/>
    <w:rsid w:val="006A185E"/>
    <w:rsid w:val="006A3381"/>
    <w:rsid w:val="006A53B6"/>
    <w:rsid w:val="006A6664"/>
    <w:rsid w:val="006A7707"/>
    <w:rsid w:val="006B01C6"/>
    <w:rsid w:val="006C1F64"/>
    <w:rsid w:val="006C3A7A"/>
    <w:rsid w:val="006C7967"/>
    <w:rsid w:val="006D2B41"/>
    <w:rsid w:val="006D46A6"/>
    <w:rsid w:val="006E1F91"/>
    <w:rsid w:val="006E3111"/>
    <w:rsid w:val="006E4E67"/>
    <w:rsid w:val="006E7547"/>
    <w:rsid w:val="006E766C"/>
    <w:rsid w:val="006E7DD6"/>
    <w:rsid w:val="006F3B78"/>
    <w:rsid w:val="00701D71"/>
    <w:rsid w:val="00703700"/>
    <w:rsid w:val="007049DF"/>
    <w:rsid w:val="00704D51"/>
    <w:rsid w:val="0070669C"/>
    <w:rsid w:val="007078EB"/>
    <w:rsid w:val="007108EA"/>
    <w:rsid w:val="0071107C"/>
    <w:rsid w:val="00713811"/>
    <w:rsid w:val="00714058"/>
    <w:rsid w:val="00715950"/>
    <w:rsid w:val="00716006"/>
    <w:rsid w:val="00716AC6"/>
    <w:rsid w:val="007175CA"/>
    <w:rsid w:val="00717A2F"/>
    <w:rsid w:val="00722732"/>
    <w:rsid w:val="00722B63"/>
    <w:rsid w:val="00723063"/>
    <w:rsid w:val="007231B5"/>
    <w:rsid w:val="0072347F"/>
    <w:rsid w:val="00730830"/>
    <w:rsid w:val="00730B77"/>
    <w:rsid w:val="00731559"/>
    <w:rsid w:val="00731DFD"/>
    <w:rsid w:val="0073693A"/>
    <w:rsid w:val="00737E68"/>
    <w:rsid w:val="007408F5"/>
    <w:rsid w:val="007421D5"/>
    <w:rsid w:val="00746B0C"/>
    <w:rsid w:val="007472EE"/>
    <w:rsid w:val="00751F3F"/>
    <w:rsid w:val="007521AC"/>
    <w:rsid w:val="007540DB"/>
    <w:rsid w:val="00756987"/>
    <w:rsid w:val="00757D25"/>
    <w:rsid w:val="00757D54"/>
    <w:rsid w:val="007605A3"/>
    <w:rsid w:val="00761926"/>
    <w:rsid w:val="00761A6C"/>
    <w:rsid w:val="007661D0"/>
    <w:rsid w:val="00766C65"/>
    <w:rsid w:val="00767FF7"/>
    <w:rsid w:val="00770BFB"/>
    <w:rsid w:val="007734BE"/>
    <w:rsid w:val="007746C5"/>
    <w:rsid w:val="007746CD"/>
    <w:rsid w:val="00774754"/>
    <w:rsid w:val="0077596B"/>
    <w:rsid w:val="00775F8A"/>
    <w:rsid w:val="007773B8"/>
    <w:rsid w:val="00777537"/>
    <w:rsid w:val="00777633"/>
    <w:rsid w:val="0078165B"/>
    <w:rsid w:val="00784218"/>
    <w:rsid w:val="00785997"/>
    <w:rsid w:val="007873C1"/>
    <w:rsid w:val="007907B7"/>
    <w:rsid w:val="00791615"/>
    <w:rsid w:val="007939FD"/>
    <w:rsid w:val="007A11DC"/>
    <w:rsid w:val="007A1A77"/>
    <w:rsid w:val="007A1D0E"/>
    <w:rsid w:val="007A2041"/>
    <w:rsid w:val="007A40C9"/>
    <w:rsid w:val="007A472D"/>
    <w:rsid w:val="007A6064"/>
    <w:rsid w:val="007A60D4"/>
    <w:rsid w:val="007A6336"/>
    <w:rsid w:val="007A6FF8"/>
    <w:rsid w:val="007B351C"/>
    <w:rsid w:val="007B4886"/>
    <w:rsid w:val="007B5712"/>
    <w:rsid w:val="007B5801"/>
    <w:rsid w:val="007B5DD5"/>
    <w:rsid w:val="007B6C06"/>
    <w:rsid w:val="007C1D4D"/>
    <w:rsid w:val="007C3FF4"/>
    <w:rsid w:val="007C7765"/>
    <w:rsid w:val="007D2800"/>
    <w:rsid w:val="007D2B2B"/>
    <w:rsid w:val="007D4F3F"/>
    <w:rsid w:val="007D51ED"/>
    <w:rsid w:val="007D5D9A"/>
    <w:rsid w:val="007E2298"/>
    <w:rsid w:val="007E5F44"/>
    <w:rsid w:val="007E7BB0"/>
    <w:rsid w:val="007E7D4D"/>
    <w:rsid w:val="007F03BD"/>
    <w:rsid w:val="007F1283"/>
    <w:rsid w:val="007F12C9"/>
    <w:rsid w:val="007F1AFF"/>
    <w:rsid w:val="007F3C82"/>
    <w:rsid w:val="007F760C"/>
    <w:rsid w:val="00802B93"/>
    <w:rsid w:val="008045AF"/>
    <w:rsid w:val="008059DB"/>
    <w:rsid w:val="00806723"/>
    <w:rsid w:val="008163C2"/>
    <w:rsid w:val="0082015D"/>
    <w:rsid w:val="00825126"/>
    <w:rsid w:val="00827D70"/>
    <w:rsid w:val="00831C2F"/>
    <w:rsid w:val="00832148"/>
    <w:rsid w:val="008338D9"/>
    <w:rsid w:val="008340F3"/>
    <w:rsid w:val="00835692"/>
    <w:rsid w:val="00836B3A"/>
    <w:rsid w:val="00836BCF"/>
    <w:rsid w:val="00841362"/>
    <w:rsid w:val="00841BAD"/>
    <w:rsid w:val="00843232"/>
    <w:rsid w:val="00844CC8"/>
    <w:rsid w:val="008452A7"/>
    <w:rsid w:val="00846771"/>
    <w:rsid w:val="00846BD2"/>
    <w:rsid w:val="00854E1B"/>
    <w:rsid w:val="0085663E"/>
    <w:rsid w:val="00857448"/>
    <w:rsid w:val="00857D8D"/>
    <w:rsid w:val="00860CF0"/>
    <w:rsid w:val="008619D6"/>
    <w:rsid w:val="00867F31"/>
    <w:rsid w:val="008717AE"/>
    <w:rsid w:val="00873CE6"/>
    <w:rsid w:val="008745BC"/>
    <w:rsid w:val="00877F31"/>
    <w:rsid w:val="00880F50"/>
    <w:rsid w:val="00881981"/>
    <w:rsid w:val="00883E3B"/>
    <w:rsid w:val="00884F7A"/>
    <w:rsid w:val="00892F36"/>
    <w:rsid w:val="00894FE4"/>
    <w:rsid w:val="008958AE"/>
    <w:rsid w:val="008961EA"/>
    <w:rsid w:val="008A3997"/>
    <w:rsid w:val="008A481A"/>
    <w:rsid w:val="008A716F"/>
    <w:rsid w:val="008B1E44"/>
    <w:rsid w:val="008B410E"/>
    <w:rsid w:val="008C61A1"/>
    <w:rsid w:val="008D292B"/>
    <w:rsid w:val="008D3A11"/>
    <w:rsid w:val="008E2C29"/>
    <w:rsid w:val="008E393C"/>
    <w:rsid w:val="008E5C09"/>
    <w:rsid w:val="008E6F3C"/>
    <w:rsid w:val="008F02B1"/>
    <w:rsid w:val="008F4B52"/>
    <w:rsid w:val="008F5C60"/>
    <w:rsid w:val="008F6B8C"/>
    <w:rsid w:val="008F6C27"/>
    <w:rsid w:val="009001BC"/>
    <w:rsid w:val="009004F2"/>
    <w:rsid w:val="00900CFB"/>
    <w:rsid w:val="00900FF2"/>
    <w:rsid w:val="00902E70"/>
    <w:rsid w:val="00905307"/>
    <w:rsid w:val="0090613C"/>
    <w:rsid w:val="009074C9"/>
    <w:rsid w:val="0091182A"/>
    <w:rsid w:val="00913BCC"/>
    <w:rsid w:val="00914C83"/>
    <w:rsid w:val="00915904"/>
    <w:rsid w:val="00916E93"/>
    <w:rsid w:val="009170CB"/>
    <w:rsid w:val="00920423"/>
    <w:rsid w:val="009219A3"/>
    <w:rsid w:val="00926599"/>
    <w:rsid w:val="00927224"/>
    <w:rsid w:val="00927EF8"/>
    <w:rsid w:val="009309DA"/>
    <w:rsid w:val="00930D40"/>
    <w:rsid w:val="00934755"/>
    <w:rsid w:val="0093479E"/>
    <w:rsid w:val="0094257F"/>
    <w:rsid w:val="00943A82"/>
    <w:rsid w:val="009445DE"/>
    <w:rsid w:val="009460EC"/>
    <w:rsid w:val="009469FA"/>
    <w:rsid w:val="00946EDC"/>
    <w:rsid w:val="00952C69"/>
    <w:rsid w:val="00955911"/>
    <w:rsid w:val="00956077"/>
    <w:rsid w:val="009566DF"/>
    <w:rsid w:val="00961EEF"/>
    <w:rsid w:val="00963E21"/>
    <w:rsid w:val="0096415F"/>
    <w:rsid w:val="00966A1F"/>
    <w:rsid w:val="009711CF"/>
    <w:rsid w:val="009725D5"/>
    <w:rsid w:val="009755A3"/>
    <w:rsid w:val="00976DFC"/>
    <w:rsid w:val="00977EF7"/>
    <w:rsid w:val="0098171B"/>
    <w:rsid w:val="00981C55"/>
    <w:rsid w:val="00982031"/>
    <w:rsid w:val="0098225F"/>
    <w:rsid w:val="0098436F"/>
    <w:rsid w:val="009914DC"/>
    <w:rsid w:val="009933D7"/>
    <w:rsid w:val="009936F5"/>
    <w:rsid w:val="00993984"/>
    <w:rsid w:val="00995F62"/>
    <w:rsid w:val="009A158A"/>
    <w:rsid w:val="009A1C14"/>
    <w:rsid w:val="009A1E3A"/>
    <w:rsid w:val="009A2F57"/>
    <w:rsid w:val="009A2FD0"/>
    <w:rsid w:val="009A353E"/>
    <w:rsid w:val="009A7B3C"/>
    <w:rsid w:val="009B0276"/>
    <w:rsid w:val="009B25E7"/>
    <w:rsid w:val="009B43B3"/>
    <w:rsid w:val="009B5618"/>
    <w:rsid w:val="009B6014"/>
    <w:rsid w:val="009B6061"/>
    <w:rsid w:val="009C5DE7"/>
    <w:rsid w:val="009D23BF"/>
    <w:rsid w:val="009D2667"/>
    <w:rsid w:val="009D6314"/>
    <w:rsid w:val="009D7046"/>
    <w:rsid w:val="009E06E2"/>
    <w:rsid w:val="009E1E14"/>
    <w:rsid w:val="009E3922"/>
    <w:rsid w:val="009E4D88"/>
    <w:rsid w:val="009E5C19"/>
    <w:rsid w:val="009E74A2"/>
    <w:rsid w:val="009F177A"/>
    <w:rsid w:val="009F3A10"/>
    <w:rsid w:val="009F3A52"/>
    <w:rsid w:val="009F4B59"/>
    <w:rsid w:val="00A00E27"/>
    <w:rsid w:val="00A03073"/>
    <w:rsid w:val="00A03CC8"/>
    <w:rsid w:val="00A048EE"/>
    <w:rsid w:val="00A053F7"/>
    <w:rsid w:val="00A0745E"/>
    <w:rsid w:val="00A11E1B"/>
    <w:rsid w:val="00A1346F"/>
    <w:rsid w:val="00A15329"/>
    <w:rsid w:val="00A163C5"/>
    <w:rsid w:val="00A1708A"/>
    <w:rsid w:val="00A21AA1"/>
    <w:rsid w:val="00A21AF6"/>
    <w:rsid w:val="00A22150"/>
    <w:rsid w:val="00A22198"/>
    <w:rsid w:val="00A23928"/>
    <w:rsid w:val="00A23F6D"/>
    <w:rsid w:val="00A2452B"/>
    <w:rsid w:val="00A3488C"/>
    <w:rsid w:val="00A35D0A"/>
    <w:rsid w:val="00A375B2"/>
    <w:rsid w:val="00A37F7A"/>
    <w:rsid w:val="00A42B67"/>
    <w:rsid w:val="00A479CF"/>
    <w:rsid w:val="00A51221"/>
    <w:rsid w:val="00A52803"/>
    <w:rsid w:val="00A552B8"/>
    <w:rsid w:val="00A601F6"/>
    <w:rsid w:val="00A603D2"/>
    <w:rsid w:val="00A60678"/>
    <w:rsid w:val="00A60B60"/>
    <w:rsid w:val="00A60F37"/>
    <w:rsid w:val="00A61C78"/>
    <w:rsid w:val="00A61D2D"/>
    <w:rsid w:val="00A6508E"/>
    <w:rsid w:val="00A65A7C"/>
    <w:rsid w:val="00A6781D"/>
    <w:rsid w:val="00A71508"/>
    <w:rsid w:val="00A76C23"/>
    <w:rsid w:val="00A77773"/>
    <w:rsid w:val="00A80373"/>
    <w:rsid w:val="00A81C48"/>
    <w:rsid w:val="00A8297F"/>
    <w:rsid w:val="00A840E8"/>
    <w:rsid w:val="00A85114"/>
    <w:rsid w:val="00A85823"/>
    <w:rsid w:val="00A85A5A"/>
    <w:rsid w:val="00A8689F"/>
    <w:rsid w:val="00A87B82"/>
    <w:rsid w:val="00A901FB"/>
    <w:rsid w:val="00A9055C"/>
    <w:rsid w:val="00A91792"/>
    <w:rsid w:val="00A939DE"/>
    <w:rsid w:val="00A93C14"/>
    <w:rsid w:val="00A94D8A"/>
    <w:rsid w:val="00A9684D"/>
    <w:rsid w:val="00AA2C2A"/>
    <w:rsid w:val="00AA2EAD"/>
    <w:rsid w:val="00AA5460"/>
    <w:rsid w:val="00AA58FA"/>
    <w:rsid w:val="00AB2920"/>
    <w:rsid w:val="00AB2A69"/>
    <w:rsid w:val="00AB361B"/>
    <w:rsid w:val="00AC06AF"/>
    <w:rsid w:val="00AC2E6C"/>
    <w:rsid w:val="00AC359A"/>
    <w:rsid w:val="00AC4724"/>
    <w:rsid w:val="00AD09AA"/>
    <w:rsid w:val="00AD0E6C"/>
    <w:rsid w:val="00AD3C1F"/>
    <w:rsid w:val="00AD4036"/>
    <w:rsid w:val="00AD4276"/>
    <w:rsid w:val="00AD71BD"/>
    <w:rsid w:val="00AE101C"/>
    <w:rsid w:val="00AE68A9"/>
    <w:rsid w:val="00AF055E"/>
    <w:rsid w:val="00AF110A"/>
    <w:rsid w:val="00AF1297"/>
    <w:rsid w:val="00AF18FC"/>
    <w:rsid w:val="00AF39EF"/>
    <w:rsid w:val="00AF4CF2"/>
    <w:rsid w:val="00AF5FD5"/>
    <w:rsid w:val="00AF6542"/>
    <w:rsid w:val="00AF7D8F"/>
    <w:rsid w:val="00B018FB"/>
    <w:rsid w:val="00B01C60"/>
    <w:rsid w:val="00B0275A"/>
    <w:rsid w:val="00B02E35"/>
    <w:rsid w:val="00B05973"/>
    <w:rsid w:val="00B0799A"/>
    <w:rsid w:val="00B10C28"/>
    <w:rsid w:val="00B119FD"/>
    <w:rsid w:val="00B11B78"/>
    <w:rsid w:val="00B11CE3"/>
    <w:rsid w:val="00B14A50"/>
    <w:rsid w:val="00B16178"/>
    <w:rsid w:val="00B16D8C"/>
    <w:rsid w:val="00B16FFD"/>
    <w:rsid w:val="00B17272"/>
    <w:rsid w:val="00B17887"/>
    <w:rsid w:val="00B21E6B"/>
    <w:rsid w:val="00B23B4C"/>
    <w:rsid w:val="00B23C1D"/>
    <w:rsid w:val="00B27430"/>
    <w:rsid w:val="00B301BC"/>
    <w:rsid w:val="00B318DA"/>
    <w:rsid w:val="00B3197A"/>
    <w:rsid w:val="00B33176"/>
    <w:rsid w:val="00B357FB"/>
    <w:rsid w:val="00B363D9"/>
    <w:rsid w:val="00B4213C"/>
    <w:rsid w:val="00B427CB"/>
    <w:rsid w:val="00B428D8"/>
    <w:rsid w:val="00B439B7"/>
    <w:rsid w:val="00B43A79"/>
    <w:rsid w:val="00B44770"/>
    <w:rsid w:val="00B4533B"/>
    <w:rsid w:val="00B51C81"/>
    <w:rsid w:val="00B56521"/>
    <w:rsid w:val="00B57519"/>
    <w:rsid w:val="00B60D12"/>
    <w:rsid w:val="00B6354D"/>
    <w:rsid w:val="00B64544"/>
    <w:rsid w:val="00B6549E"/>
    <w:rsid w:val="00B65B7D"/>
    <w:rsid w:val="00B67DD2"/>
    <w:rsid w:val="00B71309"/>
    <w:rsid w:val="00B7397A"/>
    <w:rsid w:val="00B740F8"/>
    <w:rsid w:val="00B74E05"/>
    <w:rsid w:val="00B75F49"/>
    <w:rsid w:val="00B761E3"/>
    <w:rsid w:val="00B83308"/>
    <w:rsid w:val="00B85EFA"/>
    <w:rsid w:val="00B86E2A"/>
    <w:rsid w:val="00B9010B"/>
    <w:rsid w:val="00B93877"/>
    <w:rsid w:val="00B94293"/>
    <w:rsid w:val="00B96410"/>
    <w:rsid w:val="00BA00B2"/>
    <w:rsid w:val="00BA0202"/>
    <w:rsid w:val="00BA05F3"/>
    <w:rsid w:val="00BA2634"/>
    <w:rsid w:val="00BA2F6C"/>
    <w:rsid w:val="00BA3C5F"/>
    <w:rsid w:val="00BA5033"/>
    <w:rsid w:val="00BA5CCC"/>
    <w:rsid w:val="00BA6929"/>
    <w:rsid w:val="00BA6D79"/>
    <w:rsid w:val="00BB0070"/>
    <w:rsid w:val="00BB0128"/>
    <w:rsid w:val="00BB0CFB"/>
    <w:rsid w:val="00BB3984"/>
    <w:rsid w:val="00BB3D66"/>
    <w:rsid w:val="00BB4EEC"/>
    <w:rsid w:val="00BB5B36"/>
    <w:rsid w:val="00BB6C09"/>
    <w:rsid w:val="00BB6F86"/>
    <w:rsid w:val="00BB7C35"/>
    <w:rsid w:val="00BC1D2C"/>
    <w:rsid w:val="00BC4FD8"/>
    <w:rsid w:val="00BC643A"/>
    <w:rsid w:val="00BC6580"/>
    <w:rsid w:val="00BC674E"/>
    <w:rsid w:val="00BD1337"/>
    <w:rsid w:val="00BD25F7"/>
    <w:rsid w:val="00BD4560"/>
    <w:rsid w:val="00BE0367"/>
    <w:rsid w:val="00BE55F6"/>
    <w:rsid w:val="00BF2563"/>
    <w:rsid w:val="00BF32D5"/>
    <w:rsid w:val="00BF38EE"/>
    <w:rsid w:val="00BF3D70"/>
    <w:rsid w:val="00BF52B9"/>
    <w:rsid w:val="00BF59B1"/>
    <w:rsid w:val="00BF66A3"/>
    <w:rsid w:val="00BF7AD5"/>
    <w:rsid w:val="00C0363E"/>
    <w:rsid w:val="00C10291"/>
    <w:rsid w:val="00C13B9D"/>
    <w:rsid w:val="00C14279"/>
    <w:rsid w:val="00C15F52"/>
    <w:rsid w:val="00C20873"/>
    <w:rsid w:val="00C20A17"/>
    <w:rsid w:val="00C21B43"/>
    <w:rsid w:val="00C2227F"/>
    <w:rsid w:val="00C22CA5"/>
    <w:rsid w:val="00C23233"/>
    <w:rsid w:val="00C26F6B"/>
    <w:rsid w:val="00C27095"/>
    <w:rsid w:val="00C314EE"/>
    <w:rsid w:val="00C34C62"/>
    <w:rsid w:val="00C4108D"/>
    <w:rsid w:val="00C473FE"/>
    <w:rsid w:val="00C478C6"/>
    <w:rsid w:val="00C55B65"/>
    <w:rsid w:val="00C56757"/>
    <w:rsid w:val="00C569AB"/>
    <w:rsid w:val="00C6052C"/>
    <w:rsid w:val="00C622CF"/>
    <w:rsid w:val="00C62C8B"/>
    <w:rsid w:val="00C6505B"/>
    <w:rsid w:val="00C66622"/>
    <w:rsid w:val="00C6679A"/>
    <w:rsid w:val="00C70E4C"/>
    <w:rsid w:val="00C739D0"/>
    <w:rsid w:val="00C74DEC"/>
    <w:rsid w:val="00C77B72"/>
    <w:rsid w:val="00C81784"/>
    <w:rsid w:val="00C84144"/>
    <w:rsid w:val="00C85A0F"/>
    <w:rsid w:val="00C92499"/>
    <w:rsid w:val="00C93857"/>
    <w:rsid w:val="00C962EA"/>
    <w:rsid w:val="00C96E4C"/>
    <w:rsid w:val="00C97927"/>
    <w:rsid w:val="00CA2336"/>
    <w:rsid w:val="00CA25F4"/>
    <w:rsid w:val="00CA2EBD"/>
    <w:rsid w:val="00CA7BD7"/>
    <w:rsid w:val="00CA7BDC"/>
    <w:rsid w:val="00CB13F7"/>
    <w:rsid w:val="00CB1D0A"/>
    <w:rsid w:val="00CB6667"/>
    <w:rsid w:val="00CB682D"/>
    <w:rsid w:val="00CB7EAD"/>
    <w:rsid w:val="00CC0094"/>
    <w:rsid w:val="00CC2811"/>
    <w:rsid w:val="00CC475B"/>
    <w:rsid w:val="00CC5389"/>
    <w:rsid w:val="00CC5FA1"/>
    <w:rsid w:val="00CC66CF"/>
    <w:rsid w:val="00CC6C07"/>
    <w:rsid w:val="00CD1939"/>
    <w:rsid w:val="00CD3FE5"/>
    <w:rsid w:val="00CE0F24"/>
    <w:rsid w:val="00CE1048"/>
    <w:rsid w:val="00CE1561"/>
    <w:rsid w:val="00CE1AC5"/>
    <w:rsid w:val="00CE3E03"/>
    <w:rsid w:val="00CE4236"/>
    <w:rsid w:val="00CE4532"/>
    <w:rsid w:val="00CE5BE3"/>
    <w:rsid w:val="00CF1C8A"/>
    <w:rsid w:val="00CF38AC"/>
    <w:rsid w:val="00CF42ED"/>
    <w:rsid w:val="00CF5272"/>
    <w:rsid w:val="00D0272B"/>
    <w:rsid w:val="00D02E26"/>
    <w:rsid w:val="00D02F43"/>
    <w:rsid w:val="00D06B70"/>
    <w:rsid w:val="00D07511"/>
    <w:rsid w:val="00D107A8"/>
    <w:rsid w:val="00D118DB"/>
    <w:rsid w:val="00D17D09"/>
    <w:rsid w:val="00D201F2"/>
    <w:rsid w:val="00D224EF"/>
    <w:rsid w:val="00D22A46"/>
    <w:rsid w:val="00D22BD8"/>
    <w:rsid w:val="00D24892"/>
    <w:rsid w:val="00D26CDC"/>
    <w:rsid w:val="00D31942"/>
    <w:rsid w:val="00D31A43"/>
    <w:rsid w:val="00D40F14"/>
    <w:rsid w:val="00D45AB2"/>
    <w:rsid w:val="00D51283"/>
    <w:rsid w:val="00D5161D"/>
    <w:rsid w:val="00D516FD"/>
    <w:rsid w:val="00D51C9F"/>
    <w:rsid w:val="00D51F15"/>
    <w:rsid w:val="00D539D4"/>
    <w:rsid w:val="00D55045"/>
    <w:rsid w:val="00D619A8"/>
    <w:rsid w:val="00D61EA8"/>
    <w:rsid w:val="00D637F4"/>
    <w:rsid w:val="00D66D57"/>
    <w:rsid w:val="00D70317"/>
    <w:rsid w:val="00D71487"/>
    <w:rsid w:val="00D750D3"/>
    <w:rsid w:val="00D76554"/>
    <w:rsid w:val="00D76CF7"/>
    <w:rsid w:val="00D77697"/>
    <w:rsid w:val="00D80279"/>
    <w:rsid w:val="00D8394B"/>
    <w:rsid w:val="00D839D6"/>
    <w:rsid w:val="00D8605D"/>
    <w:rsid w:val="00D87947"/>
    <w:rsid w:val="00D90FB8"/>
    <w:rsid w:val="00D93014"/>
    <w:rsid w:val="00D94064"/>
    <w:rsid w:val="00D97ACB"/>
    <w:rsid w:val="00D97F2F"/>
    <w:rsid w:val="00DA3AFB"/>
    <w:rsid w:val="00DA513C"/>
    <w:rsid w:val="00DA72ED"/>
    <w:rsid w:val="00DB154C"/>
    <w:rsid w:val="00DB208F"/>
    <w:rsid w:val="00DB25E5"/>
    <w:rsid w:val="00DB5B06"/>
    <w:rsid w:val="00DB619A"/>
    <w:rsid w:val="00DB7437"/>
    <w:rsid w:val="00DC30DA"/>
    <w:rsid w:val="00DC3593"/>
    <w:rsid w:val="00DD1294"/>
    <w:rsid w:val="00DD1AA9"/>
    <w:rsid w:val="00DD2406"/>
    <w:rsid w:val="00DD2F65"/>
    <w:rsid w:val="00DD3109"/>
    <w:rsid w:val="00DD431A"/>
    <w:rsid w:val="00DE0491"/>
    <w:rsid w:val="00DE072C"/>
    <w:rsid w:val="00DE10C4"/>
    <w:rsid w:val="00DE124F"/>
    <w:rsid w:val="00DE1831"/>
    <w:rsid w:val="00DE1F2E"/>
    <w:rsid w:val="00DE2199"/>
    <w:rsid w:val="00DE283F"/>
    <w:rsid w:val="00DE2C14"/>
    <w:rsid w:val="00DE42D8"/>
    <w:rsid w:val="00DE443E"/>
    <w:rsid w:val="00DE658D"/>
    <w:rsid w:val="00DE7E69"/>
    <w:rsid w:val="00DF078C"/>
    <w:rsid w:val="00DF21E3"/>
    <w:rsid w:val="00DF2318"/>
    <w:rsid w:val="00DF30BA"/>
    <w:rsid w:val="00DF432D"/>
    <w:rsid w:val="00DF4AB4"/>
    <w:rsid w:val="00DF746E"/>
    <w:rsid w:val="00E02C43"/>
    <w:rsid w:val="00E03532"/>
    <w:rsid w:val="00E0718C"/>
    <w:rsid w:val="00E105A3"/>
    <w:rsid w:val="00E13F06"/>
    <w:rsid w:val="00E14D84"/>
    <w:rsid w:val="00E152D9"/>
    <w:rsid w:val="00E16316"/>
    <w:rsid w:val="00E21F3D"/>
    <w:rsid w:val="00E22780"/>
    <w:rsid w:val="00E22DF1"/>
    <w:rsid w:val="00E23E2B"/>
    <w:rsid w:val="00E26520"/>
    <w:rsid w:val="00E3267E"/>
    <w:rsid w:val="00E33E94"/>
    <w:rsid w:val="00E34B97"/>
    <w:rsid w:val="00E373DD"/>
    <w:rsid w:val="00E3765D"/>
    <w:rsid w:val="00E37C2D"/>
    <w:rsid w:val="00E40998"/>
    <w:rsid w:val="00E40B8C"/>
    <w:rsid w:val="00E54025"/>
    <w:rsid w:val="00E540D0"/>
    <w:rsid w:val="00E562C3"/>
    <w:rsid w:val="00E56760"/>
    <w:rsid w:val="00E6015F"/>
    <w:rsid w:val="00E62E44"/>
    <w:rsid w:val="00E64A17"/>
    <w:rsid w:val="00E6598E"/>
    <w:rsid w:val="00E65C0B"/>
    <w:rsid w:val="00E674FE"/>
    <w:rsid w:val="00E67F41"/>
    <w:rsid w:val="00E7349E"/>
    <w:rsid w:val="00E738C0"/>
    <w:rsid w:val="00E74FB6"/>
    <w:rsid w:val="00E751E5"/>
    <w:rsid w:val="00E77F48"/>
    <w:rsid w:val="00E84418"/>
    <w:rsid w:val="00E87D07"/>
    <w:rsid w:val="00E96EA8"/>
    <w:rsid w:val="00EA1BDC"/>
    <w:rsid w:val="00EA2798"/>
    <w:rsid w:val="00EA4B8F"/>
    <w:rsid w:val="00EB0647"/>
    <w:rsid w:val="00EB13C3"/>
    <w:rsid w:val="00EB2B78"/>
    <w:rsid w:val="00EB2BB8"/>
    <w:rsid w:val="00EB61F5"/>
    <w:rsid w:val="00EB6C40"/>
    <w:rsid w:val="00EC0B36"/>
    <w:rsid w:val="00EC111B"/>
    <w:rsid w:val="00EC35A7"/>
    <w:rsid w:val="00EC409D"/>
    <w:rsid w:val="00EC57A1"/>
    <w:rsid w:val="00EC69E5"/>
    <w:rsid w:val="00EC6E6E"/>
    <w:rsid w:val="00ED0054"/>
    <w:rsid w:val="00ED42CB"/>
    <w:rsid w:val="00ED4F4A"/>
    <w:rsid w:val="00ED5C0F"/>
    <w:rsid w:val="00ED68DB"/>
    <w:rsid w:val="00ED6DB3"/>
    <w:rsid w:val="00EE236D"/>
    <w:rsid w:val="00EE26CD"/>
    <w:rsid w:val="00EF1D70"/>
    <w:rsid w:val="00EF2ED3"/>
    <w:rsid w:val="00EF3DE0"/>
    <w:rsid w:val="00EF5C73"/>
    <w:rsid w:val="00EF671D"/>
    <w:rsid w:val="00F00F03"/>
    <w:rsid w:val="00F01A2D"/>
    <w:rsid w:val="00F02B9C"/>
    <w:rsid w:val="00F030A6"/>
    <w:rsid w:val="00F03223"/>
    <w:rsid w:val="00F0477B"/>
    <w:rsid w:val="00F048E5"/>
    <w:rsid w:val="00F04BC6"/>
    <w:rsid w:val="00F06DF5"/>
    <w:rsid w:val="00F10F34"/>
    <w:rsid w:val="00F116A4"/>
    <w:rsid w:val="00F15DA1"/>
    <w:rsid w:val="00F15FFD"/>
    <w:rsid w:val="00F1708F"/>
    <w:rsid w:val="00F2007E"/>
    <w:rsid w:val="00F242D3"/>
    <w:rsid w:val="00F25370"/>
    <w:rsid w:val="00F2565F"/>
    <w:rsid w:val="00F3181F"/>
    <w:rsid w:val="00F34F12"/>
    <w:rsid w:val="00F405BE"/>
    <w:rsid w:val="00F445B3"/>
    <w:rsid w:val="00F453C1"/>
    <w:rsid w:val="00F45729"/>
    <w:rsid w:val="00F45D2E"/>
    <w:rsid w:val="00F55625"/>
    <w:rsid w:val="00F6279C"/>
    <w:rsid w:val="00F65B53"/>
    <w:rsid w:val="00F66EB8"/>
    <w:rsid w:val="00F67B0F"/>
    <w:rsid w:val="00F721B0"/>
    <w:rsid w:val="00F72FCA"/>
    <w:rsid w:val="00F77943"/>
    <w:rsid w:val="00F821E6"/>
    <w:rsid w:val="00F82A31"/>
    <w:rsid w:val="00F838CA"/>
    <w:rsid w:val="00F860F6"/>
    <w:rsid w:val="00F91754"/>
    <w:rsid w:val="00F918CB"/>
    <w:rsid w:val="00F936A0"/>
    <w:rsid w:val="00F94C0D"/>
    <w:rsid w:val="00FA07A6"/>
    <w:rsid w:val="00FA221B"/>
    <w:rsid w:val="00FA2FE8"/>
    <w:rsid w:val="00FA4229"/>
    <w:rsid w:val="00FA768F"/>
    <w:rsid w:val="00FA7D17"/>
    <w:rsid w:val="00FB05E2"/>
    <w:rsid w:val="00FB0F10"/>
    <w:rsid w:val="00FB4976"/>
    <w:rsid w:val="00FB4CB7"/>
    <w:rsid w:val="00FB7D21"/>
    <w:rsid w:val="00FC1DA6"/>
    <w:rsid w:val="00FC7720"/>
    <w:rsid w:val="00FD0416"/>
    <w:rsid w:val="00FD0D90"/>
    <w:rsid w:val="00FD1235"/>
    <w:rsid w:val="00FD24E0"/>
    <w:rsid w:val="00FD79CD"/>
    <w:rsid w:val="00FE193C"/>
    <w:rsid w:val="00FE2AE8"/>
    <w:rsid w:val="00FE53FB"/>
    <w:rsid w:val="00FE6C86"/>
    <w:rsid w:val="00FF370E"/>
    <w:rsid w:val="00FF3E32"/>
    <w:rsid w:val="00FF475F"/>
    <w:rsid w:val="00FF79B8"/>
    <w:rsid w:val="00FF7FB9"/>
    <w:rsid w:val="188E1697"/>
    <w:rsid w:val="6A0675AF"/>
    <w:rsid w:val="71D81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A3559"/>
  <w15:docId w15:val="{4BFAB9B2-F90B-4FCD-BD7F-1CBEC3C6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link w:val="BodyTexta678269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link w:val="1e09b370a"/>
    <w:uiPriority w:val="99"/>
    <w:unhideWhenUsed/>
    <w:qFormat/>
    <w:rPr>
      <w:color w:val="0563C1" w:themeColor="hyperlink"/>
      <w:u w:val="single"/>
    </w:rPr>
  </w:style>
  <w:style w:type="character" w:styleId="af">
    <w:name w:val="annotation reference"/>
    <w:basedOn w:val="a0"/>
    <w:link w:val="1dcd1a06b"/>
    <w:uiPriority w:val="99"/>
    <w:semiHidden/>
    <w:unhideWhenUsed/>
    <w:qFormat/>
    <w:rPr>
      <w:sz w:val="21"/>
      <w:szCs w:val="21"/>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paragraph" w:customStyle="1" w:styleId="YJH-nei">
    <w:name w:val="YJH-nei"/>
    <w:basedOn w:val="a"/>
    <w:qFormat/>
    <w:pPr>
      <w:spacing w:line="600" w:lineRule="exact"/>
      <w:ind w:firstLineChars="200" w:firstLine="200"/>
    </w:pPr>
    <w:rPr>
      <w:rFonts w:ascii="仿宋_GB2312" w:eastAsia="仿宋_GB2312" w:hAnsi="宋体" w:cs="宋体" w:hint="eastAsia"/>
      <w:kern w:val="0"/>
      <w:sz w:val="30"/>
      <w:szCs w:val="30"/>
    </w:rPr>
  </w:style>
  <w:style w:type="paragraph" w:customStyle="1" w:styleId="1">
    <w:name w:val="修订1"/>
    <w:link w:val="1c3a65ce5"/>
    <w:hidden/>
    <w:uiPriority w:val="99"/>
    <w:semiHidden/>
    <w:qFormat/>
    <w:rPr>
      <w:kern w:val="2"/>
      <w:sz w:val="21"/>
      <w:szCs w:val="22"/>
    </w:rPr>
  </w:style>
  <w:style w:type="character" w:customStyle="1" w:styleId="sect2title1">
    <w:name w:val="sect2title1"/>
    <w:qFormat/>
    <w:rPr>
      <w:rFonts w:ascii="微软雅黑" w:eastAsia="微软雅黑" w:hAnsi="微软雅黑" w:hint="eastAsia"/>
      <w:b/>
      <w:bCs/>
      <w:sz w:val="21"/>
      <w:szCs w:val="21"/>
    </w:rPr>
  </w:style>
  <w:style w:type="character" w:customStyle="1" w:styleId="title1">
    <w:name w:val="title1"/>
    <w:qFormat/>
    <w:rPr>
      <w:rFonts w:ascii="微软雅黑" w:eastAsia="微软雅黑" w:hAnsi="微软雅黑" w:hint="eastAsia"/>
      <w:sz w:val="21"/>
      <w:szCs w:val="21"/>
    </w:rPr>
  </w:style>
  <w:style w:type="table" w:customStyle="1" w:styleId="2">
    <w:name w:val="网格型2"/>
    <w:basedOn w:val="a1"/>
    <w:link w:val="2b716fde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link w:val="321bbcdb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link w:val="af2"/>
    <w:hidden/>
    <w:uiPriority w:val="99"/>
    <w:semiHidden/>
    <w:rsid w:val="00057C6E"/>
    <w:rPr>
      <w:kern w:val="2"/>
      <w:sz w:val="21"/>
      <w:szCs w:val="22"/>
    </w:rPr>
  </w:style>
  <w:style w:type="paragraph" w:customStyle="1" w:styleId="Normalfd659043">
    <w:name w:val="Normalfd659043"/>
    <w:qFormat/>
    <w:rsid w:val="001B40E4"/>
    <w:pPr>
      <w:widowControl w:val="0"/>
      <w:jc w:val="both"/>
    </w:pPr>
    <w:rPr>
      <w:kern w:val="2"/>
      <w:sz w:val="21"/>
      <w:szCs w:val="22"/>
    </w:rPr>
  </w:style>
  <w:style w:type="paragraph" w:customStyle="1" w:styleId="heading141caa2d4">
    <w:name w:val="heading 141caa2d4"/>
    <w:basedOn w:val="Normalfd659043"/>
    <w:next w:val="a"/>
    <w:link w:val="110"/>
    <w:uiPriority w:val="9"/>
    <w:qFormat/>
    <w:rsid w:val="001B40E4"/>
    <w:pPr>
      <w:keepNext/>
      <w:keepLines/>
      <w:spacing w:before="120" w:after="120"/>
      <w:outlineLvl w:val="0"/>
    </w:pPr>
    <w:rPr>
      <w:rFonts w:ascii="宋体" w:eastAsia="黑体" w:hAnsi="宋体" w:cs="黑体"/>
      <w:b/>
      <w:bCs/>
      <w:kern w:val="44"/>
      <w:sz w:val="44"/>
      <w:szCs w:val="44"/>
    </w:rPr>
  </w:style>
  <w:style w:type="paragraph" w:customStyle="1" w:styleId="heading2fb4b5420">
    <w:name w:val="heading 2fb4b5420"/>
    <w:basedOn w:val="Normalfd659043"/>
    <w:next w:val="a"/>
    <w:link w:val="220"/>
    <w:qFormat/>
    <w:rsid w:val="001B40E4"/>
    <w:pPr>
      <w:keepNext/>
      <w:keepLines/>
      <w:spacing w:before="260" w:after="260" w:line="416" w:lineRule="auto"/>
      <w:ind w:leftChars="100" w:left="420" w:rightChars="100" w:right="100"/>
      <w:outlineLvl w:val="1"/>
    </w:pPr>
    <w:rPr>
      <w:rFonts w:ascii="Arial" w:eastAsia="华文细黑" w:hAnsi="Arial"/>
      <w:b/>
      <w:bCs/>
      <w:szCs w:val="32"/>
    </w:rPr>
  </w:style>
  <w:style w:type="paragraph" w:customStyle="1" w:styleId="heading301ac24c0">
    <w:name w:val="heading 301ac24c0"/>
    <w:basedOn w:val="Normalfd659043"/>
    <w:next w:val="a"/>
    <w:link w:val="330"/>
    <w:uiPriority w:val="9"/>
    <w:semiHidden/>
    <w:unhideWhenUsed/>
    <w:qFormat/>
    <w:rsid w:val="001B40E4"/>
    <w:pPr>
      <w:keepNext/>
      <w:keepLines/>
      <w:spacing w:line="360" w:lineRule="auto"/>
      <w:ind w:leftChars="100" w:left="100"/>
      <w:outlineLvl w:val="2"/>
    </w:pPr>
    <w:rPr>
      <w:rFonts w:ascii="宋体" w:eastAsia="黑体" w:hAnsi="宋体"/>
      <w:b/>
      <w:bCs/>
      <w:szCs w:val="32"/>
    </w:rPr>
  </w:style>
  <w:style w:type="character" w:customStyle="1" w:styleId="DefaultParagraphFontdebd7510">
    <w:name w:val="Default Paragraph Fontdebd7510"/>
    <w:uiPriority w:val="1"/>
    <w:semiHidden/>
    <w:unhideWhenUsed/>
  </w:style>
  <w:style w:type="table" w:customStyle="1" w:styleId="NormalTable92f55429">
    <w:name w:val="Normal Table92f55429"/>
    <w:uiPriority w:val="99"/>
    <w:semiHidden/>
    <w:unhideWhenUsed/>
    <w:tblPr>
      <w:tblInd w:w="0" w:type="dxa"/>
      <w:tblCellMar>
        <w:top w:w="0" w:type="dxa"/>
        <w:left w:w="108" w:type="dxa"/>
        <w:bottom w:w="0" w:type="dxa"/>
        <w:right w:w="108" w:type="dxa"/>
      </w:tblCellMar>
    </w:tblPr>
  </w:style>
  <w:style w:type="numbering" w:customStyle="1" w:styleId="NoListf56abca2">
    <w:name w:val="No Listf56abca2"/>
    <w:uiPriority w:val="99"/>
    <w:semiHidden/>
    <w:unhideWhenUsed/>
  </w:style>
  <w:style w:type="paragraph" w:customStyle="1" w:styleId="annotationtextcb530015">
    <w:name w:val="annotation textcb530015"/>
    <w:basedOn w:val="Normalfd659043"/>
    <w:uiPriority w:val="99"/>
    <w:unhideWhenUsed/>
    <w:qFormat/>
    <w:rsid w:val="001B40E4"/>
    <w:pPr>
      <w:jc w:val="left"/>
    </w:pPr>
  </w:style>
  <w:style w:type="paragraph" w:customStyle="1" w:styleId="BalloonText5430c4f0">
    <w:name w:val="Balloon Text5430c4f0"/>
    <w:basedOn w:val="Normalfd659043"/>
    <w:uiPriority w:val="99"/>
    <w:semiHidden/>
    <w:unhideWhenUsed/>
    <w:qFormat/>
    <w:rsid w:val="001B40E4"/>
    <w:rPr>
      <w:sz w:val="18"/>
      <w:szCs w:val="18"/>
    </w:rPr>
  </w:style>
  <w:style w:type="paragraph" w:customStyle="1" w:styleId="footerf4ecb5ff">
    <w:name w:val="footerf4ecb5ff"/>
    <w:basedOn w:val="Normalfd659043"/>
    <w:uiPriority w:val="99"/>
    <w:unhideWhenUsed/>
    <w:qFormat/>
    <w:rsid w:val="001B40E4"/>
    <w:pPr>
      <w:tabs>
        <w:tab w:val="center" w:pos="4153"/>
        <w:tab w:val="right" w:pos="8306"/>
      </w:tabs>
      <w:snapToGrid w:val="0"/>
      <w:jc w:val="left"/>
    </w:pPr>
    <w:rPr>
      <w:kern w:val="0"/>
      <w:sz w:val="18"/>
      <w:szCs w:val="18"/>
    </w:rPr>
  </w:style>
  <w:style w:type="paragraph" w:customStyle="1" w:styleId="header75187674">
    <w:name w:val="header75187674"/>
    <w:basedOn w:val="Normalfd659043"/>
    <w:uiPriority w:val="99"/>
    <w:unhideWhenUsed/>
    <w:qFormat/>
    <w:rsid w:val="001B40E4"/>
    <w:pPr>
      <w:pBdr>
        <w:bottom w:val="single" w:sz="6" w:space="1" w:color="auto"/>
      </w:pBdr>
      <w:tabs>
        <w:tab w:val="center" w:pos="4153"/>
        <w:tab w:val="right" w:pos="8306"/>
      </w:tabs>
      <w:snapToGrid w:val="0"/>
      <w:jc w:val="center"/>
    </w:pPr>
    <w:rPr>
      <w:sz w:val="18"/>
      <w:szCs w:val="18"/>
    </w:rPr>
  </w:style>
  <w:style w:type="paragraph" w:customStyle="1" w:styleId="annotationsubjectff60839c">
    <w:name w:val="annotation subjectff60839c"/>
    <w:basedOn w:val="annotationtextcb530015"/>
    <w:next w:val="a3"/>
    <w:uiPriority w:val="99"/>
    <w:semiHidden/>
    <w:unhideWhenUsed/>
    <w:qFormat/>
    <w:rsid w:val="001B40E4"/>
    <w:rPr>
      <w:b/>
      <w:bCs/>
    </w:rPr>
  </w:style>
  <w:style w:type="character" w:customStyle="1" w:styleId="annotationreferencea6647d29">
    <w:name w:val="annotation referencea6647d29"/>
    <w:basedOn w:val="DefaultParagraphFontdebd7510"/>
    <w:uiPriority w:val="99"/>
    <w:semiHidden/>
    <w:unhideWhenUsed/>
    <w:qFormat/>
    <w:rPr>
      <w:sz w:val="21"/>
      <w:szCs w:val="21"/>
    </w:rPr>
  </w:style>
  <w:style w:type="character" w:customStyle="1" w:styleId="9ae3f995">
    <w:name w:val="页眉 字符9ae3f995"/>
    <w:basedOn w:val="DefaultParagraphFontdebd7510"/>
    <w:uiPriority w:val="99"/>
    <w:qFormat/>
    <w:rPr>
      <w:kern w:val="2"/>
      <w:sz w:val="18"/>
      <w:szCs w:val="18"/>
    </w:rPr>
  </w:style>
  <w:style w:type="character" w:customStyle="1" w:styleId="c7ac956e">
    <w:name w:val="页脚 字符c7ac956e"/>
    <w:basedOn w:val="DefaultParagraphFontdebd7510"/>
    <w:uiPriority w:val="99"/>
    <w:qFormat/>
    <w:rPr>
      <w:sz w:val="18"/>
      <w:szCs w:val="18"/>
    </w:rPr>
  </w:style>
  <w:style w:type="paragraph" w:customStyle="1" w:styleId="ListParagraph4b42f0ce">
    <w:name w:val="List Paragraph4b42f0ce"/>
    <w:basedOn w:val="Normalfd659043"/>
    <w:uiPriority w:val="34"/>
    <w:qFormat/>
    <w:rsid w:val="001B40E4"/>
    <w:pPr>
      <w:ind w:firstLineChars="200" w:firstLine="420"/>
    </w:pPr>
  </w:style>
  <w:style w:type="character" w:customStyle="1" w:styleId="65b91c29">
    <w:name w:val="批注文字 字符65b91c29"/>
    <w:basedOn w:val="DefaultParagraphFontdebd7510"/>
    <w:uiPriority w:val="99"/>
    <w:qFormat/>
    <w:rPr>
      <w:kern w:val="2"/>
      <w:sz w:val="21"/>
      <w:szCs w:val="22"/>
    </w:rPr>
  </w:style>
  <w:style w:type="character" w:customStyle="1" w:styleId="1855292e">
    <w:name w:val="批注主题 字符1855292e"/>
    <w:basedOn w:val="65b91c29"/>
    <w:uiPriority w:val="99"/>
    <w:semiHidden/>
    <w:qFormat/>
    <w:rPr>
      <w:b/>
      <w:bCs/>
      <w:kern w:val="2"/>
      <w:sz w:val="21"/>
      <w:szCs w:val="22"/>
    </w:rPr>
  </w:style>
  <w:style w:type="character" w:customStyle="1" w:styleId="c1daba50">
    <w:name w:val="批注框文本 字符c1daba50"/>
    <w:basedOn w:val="DefaultParagraphFontdebd7510"/>
    <w:uiPriority w:val="99"/>
    <w:semiHidden/>
    <w:qFormat/>
    <w:rPr>
      <w:kern w:val="2"/>
      <w:sz w:val="18"/>
      <w:szCs w:val="18"/>
    </w:rPr>
  </w:style>
  <w:style w:type="paragraph" w:customStyle="1" w:styleId="111">
    <w:name w:val="修订111"/>
    <w:link w:val="187cc62c1"/>
    <w:hidden/>
    <w:uiPriority w:val="99"/>
    <w:semiHidden/>
    <w:qFormat/>
    <w:rPr>
      <w:kern w:val="2"/>
      <w:sz w:val="21"/>
      <w:szCs w:val="22"/>
    </w:rPr>
  </w:style>
  <w:style w:type="paragraph" w:customStyle="1" w:styleId="Revision1cbc7cff">
    <w:name w:val="Revision1cbc7cff"/>
    <w:hidden/>
    <w:uiPriority w:val="99"/>
    <w:semiHidden/>
    <w:rsid w:val="001B40E4"/>
    <w:rPr>
      <w:kern w:val="2"/>
      <w:sz w:val="21"/>
      <w:szCs w:val="22"/>
    </w:rPr>
  </w:style>
  <w:style w:type="character" w:customStyle="1" w:styleId="110">
    <w:name w:val="标题 1 字符10"/>
    <w:basedOn w:val="DefaultParagraphFontdebd7510"/>
    <w:link w:val="heading141caa2d4"/>
    <w:uiPriority w:val="9"/>
    <w:rsid w:val="001B40E4"/>
    <w:rPr>
      <w:rFonts w:ascii="宋体" w:eastAsia="黑体" w:hAnsi="宋体" w:cs="黑体"/>
      <w:b/>
      <w:bCs/>
      <w:kern w:val="44"/>
      <w:sz w:val="44"/>
      <w:szCs w:val="44"/>
    </w:rPr>
  </w:style>
  <w:style w:type="character" w:customStyle="1" w:styleId="220">
    <w:name w:val="标题 2 字符20"/>
    <w:basedOn w:val="DefaultParagraphFontdebd7510"/>
    <w:link w:val="heading2fb4b5420"/>
    <w:rsid w:val="001B40E4"/>
    <w:rPr>
      <w:rFonts w:ascii="Arial" w:eastAsia="华文细黑" w:hAnsi="Arial"/>
      <w:b/>
      <w:bCs/>
      <w:kern w:val="2"/>
      <w:sz w:val="21"/>
      <w:szCs w:val="32"/>
    </w:rPr>
  </w:style>
  <w:style w:type="character" w:customStyle="1" w:styleId="330">
    <w:name w:val="标题 3 字符30"/>
    <w:basedOn w:val="DefaultParagraphFontdebd7510"/>
    <w:link w:val="heading301ac24c0"/>
    <w:uiPriority w:val="9"/>
    <w:semiHidden/>
    <w:rsid w:val="001B40E4"/>
    <w:rPr>
      <w:rFonts w:ascii="宋体" w:eastAsia="黑体" w:hAnsi="宋体"/>
      <w:b/>
      <w:bCs/>
      <w:kern w:val="2"/>
      <w:sz w:val="21"/>
      <w:szCs w:val="32"/>
    </w:rPr>
  </w:style>
  <w:style w:type="paragraph" w:customStyle="1" w:styleId="NoSpacing8bde7b56">
    <w:name w:val="No Spacing8bde7b56"/>
    <w:uiPriority w:val="1"/>
    <w:qFormat/>
    <w:rsid w:val="001B40E4"/>
    <w:pPr>
      <w:widowControl w:val="0"/>
      <w:jc w:val="both"/>
    </w:pPr>
    <w:rPr>
      <w:rFonts w:ascii="宋体" w:eastAsia="黑体" w:hAnsi="宋体"/>
      <w:kern w:val="2"/>
      <w:sz w:val="21"/>
      <w:szCs w:val="22"/>
    </w:rPr>
  </w:style>
  <w:style w:type="paragraph" w:customStyle="1" w:styleId="1d1d6f03">
    <w:name w:val="说明书1d1d6f03"/>
    <w:basedOn w:val="Normalfd659043"/>
    <w:link w:val="af20"/>
    <w:qFormat/>
    <w:rsid w:val="001B40E4"/>
    <w:pPr>
      <w:autoSpaceDE w:val="0"/>
      <w:autoSpaceDN w:val="0"/>
      <w:adjustRightInd w:val="0"/>
      <w:snapToGrid w:val="0"/>
      <w:jc w:val="left"/>
    </w:pPr>
    <w:rPr>
      <w:rFonts w:ascii="宋体" w:eastAsia="黑体" w:hAnsi="宋体" w:cs="黑体"/>
      <w:kern w:val="0"/>
      <w:sz w:val="20"/>
      <w:szCs w:val="21"/>
    </w:rPr>
  </w:style>
  <w:style w:type="character" w:customStyle="1" w:styleId="af20">
    <w:name w:val="说明书 字符af2"/>
    <w:basedOn w:val="DefaultParagraphFontdebd7510"/>
    <w:link w:val="1d1d6f03"/>
    <w:rsid w:val="001B40E4"/>
    <w:rPr>
      <w:rFonts w:ascii="宋体" w:eastAsia="黑体" w:hAnsi="宋体" w:cs="黑体"/>
      <w:szCs w:val="21"/>
    </w:rPr>
  </w:style>
  <w:style w:type="paragraph" w:customStyle="1" w:styleId="af3">
    <w:name w:val="表格af3"/>
    <w:basedOn w:val="Subtitleaf4"/>
    <w:link w:val="af5"/>
    <w:qFormat/>
    <w:rsid w:val="001B40E4"/>
    <w:rPr>
      <w:rFonts w:ascii="黑体" w:eastAsia="黑体" w:hAnsi="黑体" w:cs="黑体"/>
    </w:rPr>
  </w:style>
  <w:style w:type="character" w:customStyle="1" w:styleId="af5">
    <w:name w:val="表格 字符af5"/>
    <w:basedOn w:val="af6"/>
    <w:link w:val="af3"/>
    <w:rsid w:val="001B40E4"/>
    <w:rPr>
      <w:rFonts w:ascii="黑体" w:eastAsia="黑体" w:hAnsi="黑体" w:cs="黑体"/>
      <w:b/>
      <w:bCs/>
      <w:kern w:val="28"/>
      <w:sz w:val="32"/>
      <w:szCs w:val="32"/>
    </w:rPr>
  </w:style>
  <w:style w:type="paragraph" w:customStyle="1" w:styleId="Subtitleaf4">
    <w:name w:val="Subtitleaf4"/>
    <w:basedOn w:val="Normalfd659043"/>
    <w:next w:val="a"/>
    <w:link w:val="af6"/>
    <w:uiPriority w:val="11"/>
    <w:qFormat/>
    <w:rsid w:val="001B40E4"/>
    <w:pPr>
      <w:spacing w:before="240" w:after="60"/>
      <w:outlineLvl w:val="1"/>
    </w:pPr>
    <w:rPr>
      <w:rFonts w:ascii="宋体" w:hAnsi="宋体"/>
      <w:b/>
      <w:bCs/>
      <w:kern w:val="28"/>
      <w:sz w:val="32"/>
      <w:szCs w:val="32"/>
    </w:rPr>
  </w:style>
  <w:style w:type="character" w:customStyle="1" w:styleId="af6">
    <w:name w:val="副标题 字符af6"/>
    <w:basedOn w:val="DefaultParagraphFontdebd7510"/>
    <w:link w:val="Subtitleaf4"/>
    <w:uiPriority w:val="11"/>
    <w:rsid w:val="001B40E4"/>
    <w:rPr>
      <w:rFonts w:ascii="宋体" w:hAnsi="宋体"/>
      <w:b/>
      <w:bCs/>
      <w:kern w:val="28"/>
      <w:sz w:val="32"/>
      <w:szCs w:val="32"/>
    </w:rPr>
  </w:style>
  <w:style w:type="paragraph" w:customStyle="1" w:styleId="112">
    <w:name w:val="样式112"/>
    <w:basedOn w:val="NoSpacing8bde7b56"/>
    <w:link w:val="113"/>
    <w:qFormat/>
    <w:rsid w:val="001B40E4"/>
    <w:pPr>
      <w:jc w:val="center"/>
    </w:pPr>
    <w:rPr>
      <w:rFonts w:cs="黑体"/>
      <w:b/>
      <w:kern w:val="0"/>
      <w:sz w:val="44"/>
      <w:szCs w:val="21"/>
    </w:rPr>
  </w:style>
  <w:style w:type="character" w:customStyle="1" w:styleId="113">
    <w:name w:val="样式1 字符13"/>
    <w:basedOn w:val="DefaultParagraphFontdebd7510"/>
    <w:link w:val="112"/>
    <w:rsid w:val="001B40E4"/>
    <w:rPr>
      <w:rFonts w:ascii="宋体" w:eastAsia="黑体" w:hAnsi="宋体" w:cs="黑体"/>
      <w:b/>
      <w:sz w:val="44"/>
      <w:szCs w:val="21"/>
    </w:rPr>
  </w:style>
  <w:style w:type="paragraph" w:customStyle="1" w:styleId="af7">
    <w:name w:val="加粗af7"/>
    <w:basedOn w:val="Normalfd659043"/>
    <w:link w:val="af8"/>
    <w:qFormat/>
    <w:rsid w:val="001B40E4"/>
    <w:pPr>
      <w:ind w:firstLine="420"/>
    </w:pPr>
    <w:rPr>
      <w:rFonts w:ascii="宋体" w:eastAsia="黑体" w:hAnsi="宋体" w:cs="黑体"/>
      <w:b/>
      <w:kern w:val="0"/>
      <w:sz w:val="24"/>
      <w:szCs w:val="21"/>
    </w:rPr>
  </w:style>
  <w:style w:type="character" w:customStyle="1" w:styleId="af8">
    <w:name w:val="加粗 字符af8"/>
    <w:basedOn w:val="DefaultParagraphFontdebd7510"/>
    <w:link w:val="af7"/>
    <w:rsid w:val="001B40E4"/>
    <w:rPr>
      <w:rFonts w:ascii="宋体" w:eastAsia="黑体" w:hAnsi="宋体" w:cs="黑体"/>
      <w:b/>
      <w:sz w:val="24"/>
      <w:szCs w:val="21"/>
    </w:rPr>
  </w:style>
  <w:style w:type="paragraph" w:customStyle="1" w:styleId="221">
    <w:name w:val="样式221"/>
    <w:basedOn w:val="112"/>
    <w:link w:val="222"/>
    <w:qFormat/>
    <w:rsid w:val="001B40E4"/>
  </w:style>
  <w:style w:type="character" w:customStyle="1" w:styleId="222">
    <w:name w:val="样式2 字符22"/>
    <w:basedOn w:val="113"/>
    <w:link w:val="221"/>
    <w:rsid w:val="001B40E4"/>
    <w:rPr>
      <w:rFonts w:ascii="宋体" w:eastAsia="黑体" w:hAnsi="宋体" w:cs="黑体"/>
      <w:b/>
      <w:sz w:val="44"/>
      <w:szCs w:val="21"/>
    </w:rPr>
  </w:style>
  <w:style w:type="paragraph" w:customStyle="1" w:styleId="331">
    <w:name w:val="样式331"/>
    <w:basedOn w:val="Normalfd659043"/>
    <w:link w:val="332"/>
    <w:autoRedefine/>
    <w:qFormat/>
    <w:rsid w:val="001B40E4"/>
    <w:pPr>
      <w:autoSpaceDE w:val="0"/>
      <w:autoSpaceDN w:val="0"/>
      <w:adjustRightInd w:val="0"/>
      <w:jc w:val="left"/>
    </w:pPr>
    <w:rPr>
      <w:rFonts w:ascii="宋体" w:eastAsia="黑体" w:hAnsi="宋体" w:cs="黑体"/>
      <w:kern w:val="0"/>
      <w:szCs w:val="21"/>
    </w:rPr>
  </w:style>
  <w:style w:type="character" w:customStyle="1" w:styleId="332">
    <w:name w:val="样式3 字符32"/>
    <w:basedOn w:val="DefaultParagraphFontdebd7510"/>
    <w:link w:val="331"/>
    <w:rsid w:val="001B40E4"/>
    <w:rPr>
      <w:rFonts w:ascii="宋体" w:eastAsia="黑体" w:hAnsi="宋体" w:cs="黑体"/>
      <w:sz w:val="21"/>
      <w:szCs w:val="21"/>
    </w:rPr>
  </w:style>
  <w:style w:type="paragraph" w:customStyle="1" w:styleId="44">
    <w:name w:val="样式44"/>
    <w:basedOn w:val="BodyTextaf9"/>
    <w:link w:val="440"/>
    <w:qFormat/>
    <w:rsid w:val="001B40E4"/>
    <w:pPr>
      <w:spacing w:line="240" w:lineRule="atLeast"/>
    </w:pPr>
    <w:rPr>
      <w:rFonts w:ascii="仿宋_GB2312" w:cs="黑体"/>
      <w:szCs w:val="21"/>
    </w:rPr>
  </w:style>
  <w:style w:type="character" w:customStyle="1" w:styleId="440">
    <w:name w:val="样式4 字符40"/>
    <w:basedOn w:val="DefaultParagraphFontdebd7510"/>
    <w:link w:val="44"/>
    <w:rsid w:val="001B40E4"/>
    <w:rPr>
      <w:rFonts w:ascii="仿宋_GB2312" w:eastAsia="黑体" w:hAnsi="宋体" w:cs="黑体"/>
      <w:kern w:val="2"/>
      <w:sz w:val="21"/>
      <w:szCs w:val="21"/>
    </w:rPr>
  </w:style>
  <w:style w:type="paragraph" w:customStyle="1" w:styleId="55">
    <w:name w:val="样式55"/>
    <w:basedOn w:val="BodyTextaf9"/>
    <w:next w:val="a"/>
    <w:link w:val="550"/>
    <w:qFormat/>
    <w:rsid w:val="001B40E4"/>
    <w:rPr>
      <w:rFonts w:hAnsi="黑体" w:cs="黑体"/>
      <w:sz w:val="24"/>
    </w:rPr>
  </w:style>
  <w:style w:type="character" w:customStyle="1" w:styleId="550">
    <w:name w:val="样式5 字符50"/>
    <w:basedOn w:val="DefaultParagraphFontdebd7510"/>
    <w:link w:val="55"/>
    <w:rsid w:val="001B40E4"/>
    <w:rPr>
      <w:rFonts w:ascii="宋体" w:eastAsia="黑体" w:hAnsi="黑体" w:cs="黑体"/>
      <w:kern w:val="2"/>
      <w:sz w:val="24"/>
      <w:szCs w:val="22"/>
    </w:rPr>
  </w:style>
  <w:style w:type="paragraph" w:customStyle="1" w:styleId="66">
    <w:name w:val="样式66"/>
    <w:basedOn w:val="Normalfd659043"/>
    <w:link w:val="660"/>
    <w:qFormat/>
    <w:rsid w:val="001B40E4"/>
    <w:pPr>
      <w:spacing w:line="360" w:lineRule="auto"/>
      <w:ind w:firstLineChars="177" w:firstLine="566"/>
    </w:pPr>
    <w:rPr>
      <w:rFonts w:ascii="宋体" w:eastAsia="黑体" w:hAnsi="宋体" w:cs="黑体"/>
      <w:sz w:val="32"/>
    </w:rPr>
  </w:style>
  <w:style w:type="character" w:customStyle="1" w:styleId="660">
    <w:name w:val="样式6 字符60"/>
    <w:basedOn w:val="DefaultParagraphFontdebd7510"/>
    <w:link w:val="66"/>
    <w:rsid w:val="001B40E4"/>
    <w:rPr>
      <w:rFonts w:ascii="宋体" w:eastAsia="黑体" w:hAnsi="宋体" w:cs="黑体"/>
      <w:kern w:val="2"/>
      <w:sz w:val="32"/>
      <w:szCs w:val="22"/>
    </w:rPr>
  </w:style>
  <w:style w:type="paragraph" w:customStyle="1" w:styleId="BodyTextaf9">
    <w:name w:val="Body Textaf9"/>
    <w:basedOn w:val="Normalfd659043"/>
    <w:link w:val="afa"/>
    <w:uiPriority w:val="99"/>
    <w:semiHidden/>
    <w:unhideWhenUsed/>
    <w:rsid w:val="001B40E4"/>
    <w:pPr>
      <w:spacing w:after="120"/>
    </w:pPr>
    <w:rPr>
      <w:rFonts w:ascii="宋体" w:eastAsia="黑体" w:hAnsi="宋体"/>
    </w:rPr>
  </w:style>
  <w:style w:type="character" w:customStyle="1" w:styleId="afa">
    <w:name w:val="正文文本 字符afa"/>
    <w:basedOn w:val="DefaultParagraphFontdebd7510"/>
    <w:link w:val="BodyTextaf9"/>
    <w:uiPriority w:val="99"/>
    <w:semiHidden/>
    <w:rsid w:val="001B40E4"/>
    <w:rPr>
      <w:rFonts w:ascii="宋体" w:eastAsia="黑体" w:hAnsi="宋体"/>
      <w:kern w:val="2"/>
      <w:sz w:val="21"/>
      <w:szCs w:val="22"/>
    </w:rPr>
  </w:style>
  <w:style w:type="paragraph" w:customStyle="1" w:styleId="114">
    <w:name w:val="页脚114"/>
    <w:basedOn w:val="Normalfd659043"/>
    <w:next w:val="a7"/>
    <w:link w:val="footer750a0ee1"/>
    <w:uiPriority w:val="99"/>
    <w:unhideWhenUsed/>
    <w:qFormat/>
    <w:rsid w:val="001B40E4"/>
    <w:pPr>
      <w:tabs>
        <w:tab w:val="center" w:pos="4153"/>
        <w:tab w:val="right" w:pos="8306"/>
      </w:tabs>
      <w:snapToGrid w:val="0"/>
      <w:jc w:val="left"/>
    </w:pPr>
    <w:rPr>
      <w:rFonts w:ascii="黑体" w:eastAsia="黑体" w:hAnsi="黑体" w:cs="黑体"/>
      <w:sz w:val="18"/>
      <w:szCs w:val="18"/>
    </w:rPr>
  </w:style>
  <w:style w:type="character" w:customStyle="1" w:styleId="115">
    <w:name w:val="页脚 字符115"/>
    <w:basedOn w:val="DefaultParagraphFontdebd7510"/>
    <w:uiPriority w:val="99"/>
    <w:rsid w:val="001B40E4"/>
    <w:rPr>
      <w:rFonts w:ascii="宋体" w:hAnsi="宋体" w:cstheme="minorBidi"/>
      <w:kern w:val="2"/>
      <w:sz w:val="18"/>
      <w:szCs w:val="18"/>
    </w:rPr>
  </w:style>
  <w:style w:type="table" w:customStyle="1" w:styleId="116">
    <w:name w:val="网格型116"/>
    <w:basedOn w:val="NormalTable92f55429"/>
    <w:next w:val="TableGridafb"/>
    <w:uiPriority w:val="39"/>
    <w:rsid w:val="001B40E4"/>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fb">
    <w:name w:val="Table Gridafb"/>
    <w:basedOn w:val="NormalTable92f55429"/>
    <w:link w:val="annotationtext5f1b00ce"/>
    <w:uiPriority w:val="39"/>
    <w:rsid w:val="001B40E4"/>
    <w:rPr>
      <w:rFonts w:ascii="黑体" w:eastAsia="黑体" w:hAnsi="黑体" w:cs="黑体"/>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文本标题afc"/>
    <w:basedOn w:val="Normalfd659043"/>
    <w:link w:val="afd"/>
    <w:qFormat/>
    <w:rsid w:val="001B40E4"/>
    <w:pPr>
      <w:jc w:val="center"/>
    </w:pPr>
    <w:rPr>
      <w:rFonts w:ascii="黑体" w:eastAsia="黑体" w:hAnsi="宋体" w:cs="Times New Roman"/>
      <w:b/>
      <w:sz w:val="44"/>
      <w:szCs w:val="44"/>
    </w:rPr>
  </w:style>
  <w:style w:type="paragraph" w:customStyle="1" w:styleId="afe">
    <w:name w:val="文本正文afe"/>
    <w:basedOn w:val="Normalfd659043"/>
    <w:link w:val="aff"/>
    <w:qFormat/>
    <w:rsid w:val="001B40E4"/>
    <w:pPr>
      <w:spacing w:line="312" w:lineRule="auto"/>
    </w:pPr>
    <w:rPr>
      <w:rFonts w:ascii="宋体" w:eastAsia="宋体" w:hAnsi="宋体" w:cs="Times New Roman"/>
      <w:color w:val="000000"/>
      <w:sz w:val="24"/>
      <w:szCs w:val="24"/>
    </w:rPr>
  </w:style>
  <w:style w:type="character" w:customStyle="1" w:styleId="afd">
    <w:name w:val="文本标题 字符afd"/>
    <w:basedOn w:val="DefaultParagraphFontdebd7510"/>
    <w:link w:val="afc"/>
    <w:rsid w:val="001B40E4"/>
    <w:rPr>
      <w:rFonts w:ascii="黑体" w:eastAsia="黑体" w:hAnsi="宋体" w:cs="Times New Roman"/>
      <w:b/>
      <w:kern w:val="2"/>
      <w:sz w:val="44"/>
      <w:szCs w:val="44"/>
    </w:rPr>
  </w:style>
  <w:style w:type="character" w:customStyle="1" w:styleId="aff">
    <w:name w:val="文本正文 字符aff"/>
    <w:basedOn w:val="DefaultParagraphFontdebd7510"/>
    <w:link w:val="afe"/>
    <w:rsid w:val="001B40E4"/>
    <w:rPr>
      <w:rFonts w:ascii="宋体" w:eastAsia="宋体" w:hAnsi="宋体" w:cs="Times New Roman"/>
      <w:color w:val="000000"/>
      <w:kern w:val="2"/>
      <w:sz w:val="24"/>
      <w:szCs w:val="24"/>
    </w:rPr>
  </w:style>
  <w:style w:type="paragraph" w:customStyle="1" w:styleId="YJH-nei142acc40">
    <w:name w:val="YJH-nei142acc40"/>
    <w:basedOn w:val="Normalfd659043"/>
    <w:rsid w:val="001B40E4"/>
    <w:pPr>
      <w:spacing w:line="600" w:lineRule="exact"/>
      <w:ind w:firstLineChars="200" w:firstLine="200"/>
    </w:pPr>
    <w:rPr>
      <w:rFonts w:ascii="仿宋_GB2312" w:eastAsia="仿宋_GB2312" w:hAnsi="宋体" w:cs="宋体" w:hint="eastAsia"/>
      <w:kern w:val="0"/>
      <w:sz w:val="30"/>
      <w:szCs w:val="30"/>
    </w:rPr>
  </w:style>
  <w:style w:type="character" w:customStyle="1" w:styleId="sect2title12d89826a">
    <w:name w:val="sect2title12d89826a"/>
    <w:rsid w:val="001B40E4"/>
    <w:rPr>
      <w:rFonts w:ascii="微软雅黑" w:eastAsia="微软雅黑" w:hAnsi="微软雅黑" w:hint="eastAsia"/>
      <w:b/>
      <w:bCs/>
      <w:sz w:val="21"/>
      <w:szCs w:val="21"/>
    </w:rPr>
  </w:style>
  <w:style w:type="character" w:customStyle="1" w:styleId="title1a1389d5b">
    <w:name w:val="title1a1389d5b"/>
    <w:rsid w:val="001B40E4"/>
    <w:rPr>
      <w:rFonts w:ascii="微软雅黑" w:eastAsia="微软雅黑" w:hAnsi="微软雅黑" w:hint="eastAsia"/>
      <w:sz w:val="21"/>
      <w:szCs w:val="21"/>
    </w:rPr>
  </w:style>
  <w:style w:type="table" w:customStyle="1" w:styleId="223">
    <w:name w:val="网格型223"/>
    <w:basedOn w:val="NormalTable92f55429"/>
    <w:next w:val="TableGridafb"/>
    <w:uiPriority w:val="39"/>
    <w:rsid w:val="001B4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NormalTable92f55429"/>
    <w:next w:val="TableGridafb"/>
    <w:uiPriority w:val="39"/>
    <w:rsid w:val="001B4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p0">
    <w:name w:val="p0p0"/>
    <w:basedOn w:val="Normalfd659043"/>
    <w:rsid w:val="001B40E4"/>
    <w:pPr>
      <w:widowControl/>
    </w:pPr>
    <w:rPr>
      <w:rFonts w:ascii="Times New Roman" w:eastAsia="宋体" w:hAnsi="Times New Roman" w:cs="Times New Roman"/>
      <w:kern w:val="0"/>
      <w:szCs w:val="21"/>
    </w:rPr>
  </w:style>
  <w:style w:type="character" w:customStyle="1" w:styleId="Hyperlinkaff0">
    <w:name w:val="Hyperlinkaff0"/>
    <w:basedOn w:val="DefaultParagraphFontdebd7510"/>
    <w:uiPriority w:val="99"/>
    <w:unhideWhenUsed/>
    <w:rsid w:val="001B40E4"/>
    <w:rPr>
      <w:color w:val="0563C1" w:themeColor="hyperlink"/>
      <w:u w:val="single"/>
    </w:rPr>
  </w:style>
  <w:style w:type="paragraph" w:customStyle="1" w:styleId="Normal861f8d48">
    <w:name w:val="Normal861f8d48"/>
    <w:qFormat/>
    <w:rsid w:val="00286CE3"/>
    <w:pPr>
      <w:widowControl w:val="0"/>
      <w:jc w:val="both"/>
    </w:pPr>
    <w:rPr>
      <w:rFonts w:ascii="宋体" w:hAnsi="宋体"/>
      <w:kern w:val="2"/>
      <w:sz w:val="21"/>
      <w:szCs w:val="22"/>
    </w:rPr>
  </w:style>
  <w:style w:type="paragraph" w:customStyle="1" w:styleId="heading183a1f109">
    <w:name w:val="heading 183a1f109"/>
    <w:basedOn w:val="Normal861f8d48"/>
    <w:next w:val="a"/>
    <w:uiPriority w:val="9"/>
    <w:qFormat/>
    <w:rsid w:val="000A4112"/>
    <w:pPr>
      <w:keepNext/>
      <w:keepLines/>
      <w:spacing w:before="120" w:after="120"/>
      <w:outlineLvl w:val="0"/>
    </w:pPr>
    <w:rPr>
      <w:rFonts w:cs="黑体"/>
      <w:b/>
      <w:bCs/>
      <w:kern w:val="44"/>
      <w:sz w:val="44"/>
      <w:szCs w:val="44"/>
    </w:rPr>
  </w:style>
  <w:style w:type="paragraph" w:customStyle="1" w:styleId="heading2f8d781cc">
    <w:name w:val="heading 2f8d781cc"/>
    <w:basedOn w:val="Normal861f8d48"/>
    <w:next w:val="a"/>
    <w:qFormat/>
    <w:rsid w:val="00E23B71"/>
    <w:pPr>
      <w:keepNext/>
      <w:keepLines/>
      <w:spacing w:before="260" w:after="260" w:line="416" w:lineRule="auto"/>
      <w:ind w:leftChars="100" w:left="420" w:rightChars="100" w:right="100"/>
      <w:outlineLvl w:val="1"/>
    </w:pPr>
    <w:rPr>
      <w:rFonts w:ascii="Arial" w:eastAsia="华文细黑" w:hAnsi="Arial"/>
      <w:b/>
      <w:bCs/>
      <w:szCs w:val="32"/>
    </w:rPr>
  </w:style>
  <w:style w:type="paragraph" w:customStyle="1" w:styleId="heading3ec74de22">
    <w:name w:val="heading 3ec74de22"/>
    <w:basedOn w:val="Normal861f8d48"/>
    <w:next w:val="a"/>
    <w:uiPriority w:val="9"/>
    <w:semiHidden/>
    <w:unhideWhenUsed/>
    <w:qFormat/>
    <w:rsid w:val="00AC1BDE"/>
    <w:pPr>
      <w:keepNext/>
      <w:keepLines/>
      <w:spacing w:line="360" w:lineRule="auto"/>
      <w:ind w:leftChars="100" w:left="100"/>
      <w:outlineLvl w:val="2"/>
    </w:pPr>
    <w:rPr>
      <w:b/>
      <w:bCs/>
      <w:szCs w:val="32"/>
    </w:rPr>
  </w:style>
  <w:style w:type="character" w:customStyle="1" w:styleId="DefaultParagraphFontb0265665">
    <w:name w:val="Default Paragraph Fontb0265665"/>
    <w:uiPriority w:val="1"/>
    <w:semiHidden/>
    <w:unhideWhenUsed/>
  </w:style>
  <w:style w:type="table" w:customStyle="1" w:styleId="NormalTable7bb5b338">
    <w:name w:val="Normal Table7bb5b338"/>
    <w:uiPriority w:val="99"/>
    <w:semiHidden/>
    <w:unhideWhenUsed/>
    <w:tblPr>
      <w:tblInd w:w="0" w:type="dxa"/>
      <w:tblCellMar>
        <w:top w:w="0" w:type="dxa"/>
        <w:left w:w="108" w:type="dxa"/>
        <w:bottom w:w="0" w:type="dxa"/>
        <w:right w:w="108" w:type="dxa"/>
      </w:tblCellMar>
    </w:tblPr>
  </w:style>
  <w:style w:type="numbering" w:customStyle="1" w:styleId="NoList52537410">
    <w:name w:val="No List52537410"/>
    <w:uiPriority w:val="99"/>
    <w:semiHidden/>
    <w:unhideWhenUsed/>
  </w:style>
  <w:style w:type="character" w:customStyle="1" w:styleId="210dd4c18">
    <w:name w:val="标题 2 字符10dd4c18"/>
    <w:basedOn w:val="DefaultParagraphFontb0265665"/>
    <w:rsid w:val="00E23B71"/>
    <w:rPr>
      <w:rFonts w:ascii="Arial" w:eastAsia="华文细黑" w:hAnsi="Arial" w:cstheme="minorBidi"/>
      <w:b/>
      <w:bCs/>
      <w:kern w:val="2"/>
      <w:sz w:val="21"/>
      <w:szCs w:val="32"/>
    </w:rPr>
  </w:style>
  <w:style w:type="character" w:customStyle="1" w:styleId="1d62ba4fb">
    <w:name w:val="标题 1 字符d62ba4fb"/>
    <w:basedOn w:val="DefaultParagraphFontb0265665"/>
    <w:uiPriority w:val="9"/>
    <w:rsid w:val="000A4112"/>
    <w:rPr>
      <w:b/>
      <w:bCs/>
      <w:kern w:val="44"/>
      <w:sz w:val="44"/>
      <w:szCs w:val="44"/>
    </w:rPr>
  </w:style>
  <w:style w:type="character" w:customStyle="1" w:styleId="3448cf14d">
    <w:name w:val="标题 3 字符448cf14d"/>
    <w:basedOn w:val="DefaultParagraphFontb0265665"/>
    <w:uiPriority w:val="9"/>
    <w:semiHidden/>
    <w:rsid w:val="00AC1BDE"/>
    <w:rPr>
      <w:rFonts w:eastAsia="华文细黑"/>
      <w:b/>
      <w:bCs/>
      <w:sz w:val="24"/>
      <w:szCs w:val="32"/>
    </w:rPr>
  </w:style>
  <w:style w:type="paragraph" w:customStyle="1" w:styleId="NoSpacing3ed0f4d2">
    <w:name w:val="No Spacing3ed0f4d2"/>
    <w:uiPriority w:val="1"/>
    <w:qFormat/>
    <w:rsid w:val="00B003FE"/>
    <w:pPr>
      <w:widowControl w:val="0"/>
      <w:jc w:val="both"/>
    </w:pPr>
    <w:rPr>
      <w:rFonts w:ascii="宋体" w:hAnsi="宋体"/>
      <w:kern w:val="2"/>
      <w:sz w:val="21"/>
      <w:szCs w:val="22"/>
    </w:rPr>
  </w:style>
  <w:style w:type="paragraph" w:customStyle="1" w:styleId="39737ea9">
    <w:name w:val="说明书39737ea9"/>
    <w:basedOn w:val="Normal861f8d48"/>
    <w:qFormat/>
    <w:rsid w:val="005F3276"/>
    <w:pPr>
      <w:autoSpaceDE w:val="0"/>
      <w:autoSpaceDN w:val="0"/>
      <w:adjustRightInd w:val="0"/>
      <w:snapToGrid w:val="0"/>
      <w:jc w:val="left"/>
    </w:pPr>
    <w:rPr>
      <w:rFonts w:cs="黑体"/>
      <w:kern w:val="0"/>
      <w:sz w:val="20"/>
      <w:szCs w:val="21"/>
    </w:rPr>
  </w:style>
  <w:style w:type="character" w:customStyle="1" w:styleId="8bea09d6">
    <w:name w:val="说明书 字符8bea09d6"/>
    <w:basedOn w:val="DefaultParagraphFontb0265665"/>
    <w:rsid w:val="005F3276"/>
  </w:style>
  <w:style w:type="paragraph" w:customStyle="1" w:styleId="14675d27">
    <w:name w:val="表格14675d27"/>
    <w:basedOn w:val="a7"/>
    <w:qFormat/>
    <w:rsid w:val="005F3276"/>
    <w:rPr>
      <w:rFonts w:ascii="黑体" w:eastAsia="黑体" w:hAnsi="黑体" w:cs="黑体"/>
      <w:kern w:val="0"/>
      <w:szCs w:val="20"/>
    </w:rPr>
  </w:style>
  <w:style w:type="character" w:customStyle="1" w:styleId="838683d8">
    <w:name w:val="表格 字符838683d8"/>
    <w:rsid w:val="005F3276"/>
    <w:rPr>
      <w:rFonts w:asciiTheme="minorHAnsi" w:eastAsiaTheme="minorEastAsia" w:hAnsiTheme="minorHAnsi" w:cstheme="minorBidi"/>
      <w:b/>
      <w:bCs/>
      <w:kern w:val="28"/>
      <w:sz w:val="32"/>
      <w:szCs w:val="20"/>
    </w:rPr>
  </w:style>
  <w:style w:type="paragraph" w:customStyle="1" w:styleId="Subtitledd4b8321">
    <w:name w:val="Subtitledd4b8321"/>
    <w:basedOn w:val="Normal861f8d48"/>
    <w:next w:val="a"/>
    <w:uiPriority w:val="11"/>
    <w:qFormat/>
    <w:rsid w:val="005F3276"/>
    <w:pPr>
      <w:spacing w:before="240" w:after="60"/>
      <w:outlineLvl w:val="1"/>
    </w:pPr>
    <w:rPr>
      <w:b/>
      <w:bCs/>
      <w:kern w:val="28"/>
      <w:sz w:val="32"/>
      <w:szCs w:val="32"/>
    </w:rPr>
  </w:style>
  <w:style w:type="character" w:customStyle="1" w:styleId="2b50603f">
    <w:name w:val="副标题 字符2b50603f"/>
    <w:basedOn w:val="DefaultParagraphFontb0265665"/>
    <w:uiPriority w:val="11"/>
    <w:rsid w:val="005F3276"/>
    <w:rPr>
      <w:rFonts w:asciiTheme="minorHAnsi" w:eastAsiaTheme="minorEastAsia" w:hAnsiTheme="minorHAnsi" w:cstheme="minorBidi"/>
      <w:b/>
      <w:bCs/>
      <w:kern w:val="28"/>
      <w:sz w:val="32"/>
      <w:szCs w:val="32"/>
    </w:rPr>
  </w:style>
  <w:style w:type="paragraph" w:customStyle="1" w:styleId="121e06f41">
    <w:name w:val="样式121e06f41"/>
    <w:basedOn w:val="NoSpacing3ed0f4d2"/>
    <w:qFormat/>
    <w:rsid w:val="00A8385F"/>
    <w:pPr>
      <w:jc w:val="center"/>
    </w:pPr>
    <w:rPr>
      <w:rFonts w:cs="黑体"/>
      <w:b/>
      <w:kern w:val="0"/>
      <w:sz w:val="44"/>
      <w:szCs w:val="21"/>
    </w:rPr>
  </w:style>
  <w:style w:type="character" w:customStyle="1" w:styleId="1c340b3ff">
    <w:name w:val="样式1 字符c340b3ff"/>
    <w:basedOn w:val="DefaultParagraphFontb0265665"/>
    <w:rsid w:val="00A8385F"/>
    <w:rPr>
      <w:rFonts w:ascii="宋体" w:hAnsi="宋体"/>
      <w:b/>
      <w:sz w:val="44"/>
    </w:rPr>
  </w:style>
  <w:style w:type="paragraph" w:customStyle="1" w:styleId="c672a656">
    <w:name w:val="加粗c672a656"/>
    <w:basedOn w:val="Normal861f8d48"/>
    <w:qFormat/>
    <w:rsid w:val="002844E3"/>
    <w:pPr>
      <w:ind w:firstLine="420"/>
    </w:pPr>
    <w:rPr>
      <w:rFonts w:cs="黑体"/>
      <w:b/>
      <w:kern w:val="0"/>
      <w:sz w:val="24"/>
      <w:szCs w:val="21"/>
    </w:rPr>
  </w:style>
  <w:style w:type="character" w:customStyle="1" w:styleId="7b7ff6e2">
    <w:name w:val="加粗 字符7b7ff6e2"/>
    <w:basedOn w:val="DefaultParagraphFontb0265665"/>
    <w:rsid w:val="002844E3"/>
    <w:rPr>
      <w:rFonts w:ascii="宋体" w:eastAsia="宋体" w:hAnsi="宋体"/>
      <w:b/>
      <w:sz w:val="24"/>
    </w:rPr>
  </w:style>
  <w:style w:type="paragraph" w:customStyle="1" w:styleId="2ebadfcb8">
    <w:name w:val="样式2ebadfcb8"/>
    <w:basedOn w:val="121e06f41"/>
    <w:qFormat/>
    <w:rsid w:val="00E0215F"/>
    <w:pPr>
      <w:jc w:val="both"/>
    </w:pPr>
  </w:style>
  <w:style w:type="character" w:customStyle="1" w:styleId="25afe830a">
    <w:name w:val="样式2 字符5afe830a"/>
    <w:basedOn w:val="1c340b3ff"/>
    <w:rsid w:val="00E0215F"/>
    <w:rPr>
      <w:rFonts w:ascii="宋体" w:hAnsi="宋体"/>
      <w:b/>
      <w:sz w:val="44"/>
    </w:rPr>
  </w:style>
  <w:style w:type="paragraph" w:customStyle="1" w:styleId="37e390df5">
    <w:name w:val="样式37e390df5"/>
    <w:basedOn w:val="Normal861f8d48"/>
    <w:autoRedefine/>
    <w:qFormat/>
    <w:rsid w:val="00997BC2"/>
    <w:pPr>
      <w:autoSpaceDE w:val="0"/>
      <w:autoSpaceDN w:val="0"/>
      <w:adjustRightInd w:val="0"/>
      <w:jc w:val="left"/>
    </w:pPr>
    <w:rPr>
      <w:rFonts w:cs="黑体"/>
      <w:kern w:val="0"/>
      <w:szCs w:val="21"/>
    </w:rPr>
  </w:style>
  <w:style w:type="character" w:customStyle="1" w:styleId="3562459ed">
    <w:name w:val="样式3 字符562459ed"/>
    <w:basedOn w:val="DefaultParagraphFontb0265665"/>
    <w:rsid w:val="00997BC2"/>
    <w:rPr>
      <w:sz w:val="21"/>
    </w:rPr>
  </w:style>
  <w:style w:type="paragraph" w:customStyle="1" w:styleId="4e4292945">
    <w:name w:val="样式4e4292945"/>
    <w:qFormat/>
    <w:rsid w:val="00840FBB"/>
    <w:pPr>
      <w:spacing w:line="240" w:lineRule="atLeast"/>
    </w:pPr>
    <w:rPr>
      <w:rFonts w:ascii="仿宋_GB2312" w:cs="黑体"/>
      <w:szCs w:val="21"/>
    </w:rPr>
  </w:style>
  <w:style w:type="character" w:customStyle="1" w:styleId="49d38a95c">
    <w:name w:val="样式4 字符9d38a95c"/>
    <w:basedOn w:val="DefaultParagraphFontb0265665"/>
    <w:rsid w:val="00840FBB"/>
    <w:rPr>
      <w:rFonts w:ascii="仿宋_GB2312" w:eastAsia="仿宋_GB2312" w:hAnsi="宋体"/>
      <w:kern w:val="2"/>
      <w:sz w:val="21"/>
    </w:rPr>
  </w:style>
  <w:style w:type="paragraph" w:customStyle="1" w:styleId="556470ac5">
    <w:name w:val="样式556470ac5"/>
    <w:next w:val="a"/>
    <w:qFormat/>
    <w:rsid w:val="00840FBB"/>
    <w:rPr>
      <w:rFonts w:hAnsi="黑体" w:cs="黑体"/>
      <w:sz w:val="24"/>
    </w:rPr>
  </w:style>
  <w:style w:type="character" w:customStyle="1" w:styleId="55b6f56fc">
    <w:name w:val="样式5 字符5b6f56fc"/>
    <w:basedOn w:val="DefaultParagraphFontb0265665"/>
    <w:rsid w:val="00840FBB"/>
    <w:rPr>
      <w:rFonts w:ascii="宋体" w:eastAsia="仿宋_GB2312"/>
      <w:kern w:val="2"/>
      <w:sz w:val="24"/>
      <w:szCs w:val="24"/>
    </w:rPr>
  </w:style>
  <w:style w:type="paragraph" w:customStyle="1" w:styleId="604248077">
    <w:name w:val="样式604248077"/>
    <w:basedOn w:val="Normal861f8d48"/>
    <w:qFormat/>
    <w:rsid w:val="000F2E26"/>
    <w:pPr>
      <w:spacing w:line="360" w:lineRule="auto"/>
      <w:ind w:firstLineChars="177" w:firstLine="566"/>
    </w:pPr>
    <w:rPr>
      <w:rFonts w:cs="黑体"/>
      <w:sz w:val="32"/>
    </w:rPr>
  </w:style>
  <w:style w:type="character" w:customStyle="1" w:styleId="67e4434c6">
    <w:name w:val="样式6 字符7e4434c6"/>
    <w:basedOn w:val="DefaultParagraphFontb0265665"/>
    <w:rsid w:val="000F2E26"/>
    <w:rPr>
      <w:rFonts w:eastAsia="仿宋_GB2312"/>
      <w:kern w:val="2"/>
      <w:sz w:val="32"/>
      <w:szCs w:val="24"/>
    </w:rPr>
  </w:style>
  <w:style w:type="paragraph" w:customStyle="1" w:styleId="BodyText44cb9355">
    <w:name w:val="Body Text44cb9355"/>
    <w:basedOn w:val="Normal861f8d48"/>
    <w:uiPriority w:val="99"/>
    <w:semiHidden/>
    <w:unhideWhenUsed/>
    <w:rsid w:val="00840FBB"/>
    <w:pPr>
      <w:spacing w:after="120"/>
    </w:pPr>
  </w:style>
  <w:style w:type="character" w:customStyle="1" w:styleId="36ca00f9">
    <w:name w:val="正文文本 字符36ca00f9"/>
    <w:basedOn w:val="DefaultParagraphFontb0265665"/>
    <w:uiPriority w:val="99"/>
    <w:semiHidden/>
    <w:rsid w:val="00840FBB"/>
    <w:rPr>
      <w:rFonts w:ascii="Calibri" w:eastAsia="仿宋_GB2312" w:hAnsi="Calibri" w:cs="Times New Roman"/>
      <w:kern w:val="2"/>
      <w:sz w:val="21"/>
      <w:szCs w:val="24"/>
    </w:rPr>
  </w:style>
  <w:style w:type="paragraph" w:customStyle="1" w:styleId="1fc8c2df4">
    <w:name w:val="页脚1fc8c2df4"/>
    <w:basedOn w:val="Normal861f8d48"/>
    <w:uiPriority w:val="99"/>
    <w:unhideWhenUsed/>
    <w:qFormat/>
    <w:rsid w:val="00C57452"/>
    <w:pPr>
      <w:tabs>
        <w:tab w:val="center" w:pos="4153"/>
        <w:tab w:val="right" w:pos="8306"/>
      </w:tabs>
      <w:snapToGrid w:val="0"/>
      <w:jc w:val="left"/>
    </w:pPr>
    <w:rPr>
      <w:rFonts w:ascii="黑体" w:hAnsi="黑体" w:cs="黑体"/>
      <w:sz w:val="18"/>
      <w:szCs w:val="18"/>
    </w:rPr>
  </w:style>
  <w:style w:type="character" w:customStyle="1" w:styleId="4e5d3dee">
    <w:name w:val="页脚 字符4e5d3dee"/>
    <w:basedOn w:val="DefaultParagraphFontb0265665"/>
    <w:uiPriority w:val="99"/>
    <w:qFormat/>
    <w:rsid w:val="00C57452"/>
    <w:rPr>
      <w:kern w:val="2"/>
      <w:sz w:val="18"/>
      <w:szCs w:val="18"/>
    </w:rPr>
  </w:style>
  <w:style w:type="paragraph" w:customStyle="1" w:styleId="footer176125e7">
    <w:name w:val="footer176125e7"/>
    <w:basedOn w:val="Normal861f8d48"/>
    <w:uiPriority w:val="99"/>
    <w:unhideWhenUsed/>
    <w:rsid w:val="00C57452"/>
    <w:pPr>
      <w:tabs>
        <w:tab w:val="center" w:pos="4153"/>
        <w:tab w:val="right" w:pos="8306"/>
      </w:tabs>
      <w:snapToGrid w:val="0"/>
      <w:jc w:val="left"/>
    </w:pPr>
    <w:rPr>
      <w:sz w:val="18"/>
      <w:szCs w:val="18"/>
    </w:rPr>
  </w:style>
  <w:style w:type="character" w:customStyle="1" w:styleId="16b4b92de">
    <w:name w:val="页脚 字符16b4b92de"/>
    <w:basedOn w:val="DefaultParagraphFontb0265665"/>
    <w:uiPriority w:val="99"/>
    <w:rsid w:val="00C57452"/>
    <w:rPr>
      <w:rFonts w:ascii="宋体" w:hAnsi="宋体" w:cstheme="minorBidi"/>
      <w:kern w:val="2"/>
      <w:sz w:val="18"/>
      <w:szCs w:val="18"/>
    </w:rPr>
  </w:style>
  <w:style w:type="table" w:customStyle="1" w:styleId="1efa157fd">
    <w:name w:val="网格型1efa157fd"/>
    <w:basedOn w:val="NormalTable7bb5b338"/>
    <w:uiPriority w:val="39"/>
    <w:rsid w:val="00C5745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d834336">
    <w:name w:val="Table Grid6d834336"/>
    <w:basedOn w:val="NormalTable7bb5b338"/>
    <w:uiPriority w:val="39"/>
    <w:rsid w:val="00C5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ccb942">
    <w:name w:val="文本标题e1ccb942"/>
    <w:basedOn w:val="Normal861f8d48"/>
    <w:qFormat/>
    <w:rsid w:val="00C57452"/>
    <w:pPr>
      <w:jc w:val="center"/>
    </w:pPr>
    <w:rPr>
      <w:rFonts w:ascii="黑体" w:cs="Times New Roman"/>
      <w:b/>
      <w:sz w:val="44"/>
      <w:szCs w:val="44"/>
    </w:rPr>
  </w:style>
  <w:style w:type="paragraph" w:customStyle="1" w:styleId="c639f75c">
    <w:name w:val="文本正文c639f75c"/>
    <w:basedOn w:val="Normal861f8d48"/>
    <w:qFormat/>
    <w:rsid w:val="0041149A"/>
    <w:pPr>
      <w:spacing w:line="312" w:lineRule="auto"/>
    </w:pPr>
    <w:rPr>
      <w:rFonts w:eastAsia="宋体" w:cs="Times New Roman"/>
      <w:color w:val="000000"/>
      <w:sz w:val="24"/>
      <w:szCs w:val="24"/>
    </w:rPr>
  </w:style>
  <w:style w:type="character" w:customStyle="1" w:styleId="dc05c745">
    <w:name w:val="文本标题 字符dc05c745"/>
    <w:basedOn w:val="DefaultParagraphFontb0265665"/>
    <w:rsid w:val="00C57452"/>
    <w:rPr>
      <w:rFonts w:hAnsi="宋体" w:cs="Times New Roman"/>
      <w:b/>
      <w:kern w:val="2"/>
      <w:sz w:val="44"/>
      <w:szCs w:val="44"/>
    </w:rPr>
  </w:style>
  <w:style w:type="character" w:customStyle="1" w:styleId="71b9d3a3">
    <w:name w:val="文本正文 字符71b9d3a3"/>
    <w:basedOn w:val="DefaultParagraphFontb0265665"/>
    <w:rsid w:val="0041149A"/>
    <w:rPr>
      <w:rFonts w:ascii="宋体" w:eastAsia="宋体" w:hAnsi="宋体" w:cs="Times New Roman"/>
      <w:color w:val="000000"/>
      <w:kern w:val="2"/>
      <w:sz w:val="24"/>
      <w:szCs w:val="24"/>
    </w:rPr>
  </w:style>
  <w:style w:type="paragraph" w:customStyle="1" w:styleId="header50add8c8">
    <w:name w:val="header50add8c8"/>
    <w:basedOn w:val="Normal861f8d48"/>
    <w:uiPriority w:val="99"/>
    <w:unhideWhenUsed/>
    <w:rsid w:val="00842863"/>
    <w:pPr>
      <w:pBdr>
        <w:bottom w:val="single" w:sz="6" w:space="1" w:color="auto"/>
      </w:pBdr>
      <w:tabs>
        <w:tab w:val="center" w:pos="4153"/>
        <w:tab w:val="right" w:pos="8306"/>
      </w:tabs>
      <w:snapToGrid w:val="0"/>
      <w:jc w:val="center"/>
    </w:pPr>
    <w:rPr>
      <w:sz w:val="18"/>
      <w:szCs w:val="18"/>
    </w:rPr>
  </w:style>
  <w:style w:type="character" w:customStyle="1" w:styleId="dd3796a8">
    <w:name w:val="页眉 字符dd3796a8"/>
    <w:basedOn w:val="DefaultParagraphFontb0265665"/>
    <w:uiPriority w:val="99"/>
    <w:rsid w:val="00842863"/>
    <w:rPr>
      <w:rFonts w:ascii="宋体" w:hAnsi="宋体" w:cstheme="minorBidi"/>
      <w:kern w:val="2"/>
      <w:sz w:val="18"/>
      <w:szCs w:val="18"/>
    </w:rPr>
  </w:style>
  <w:style w:type="paragraph" w:customStyle="1" w:styleId="BalloonText5f873d3c">
    <w:name w:val="Balloon Text5f873d3c"/>
    <w:basedOn w:val="Normal861f8d48"/>
    <w:uiPriority w:val="99"/>
    <w:semiHidden/>
    <w:unhideWhenUsed/>
    <w:rsid w:val="002A0EAA"/>
    <w:rPr>
      <w:rFonts w:asciiTheme="minorHAnsi" w:hAnsiTheme="minorHAnsi"/>
      <w:sz w:val="18"/>
      <w:szCs w:val="18"/>
    </w:rPr>
  </w:style>
  <w:style w:type="character" w:customStyle="1" w:styleId="8e964030">
    <w:name w:val="批注框文本 字符8e964030"/>
    <w:basedOn w:val="DefaultParagraphFontb0265665"/>
    <w:uiPriority w:val="99"/>
    <w:semiHidden/>
    <w:rsid w:val="002A0EAA"/>
    <w:rPr>
      <w:rFonts w:asciiTheme="minorHAnsi" w:eastAsiaTheme="minorEastAsia" w:hAnsiTheme="minorHAnsi" w:cstheme="minorBidi"/>
      <w:kern w:val="2"/>
      <w:sz w:val="18"/>
      <w:szCs w:val="18"/>
    </w:rPr>
  </w:style>
  <w:style w:type="character" w:customStyle="1" w:styleId="annotationreferencee8a1218a">
    <w:name w:val="annotation referencee8a1218a"/>
    <w:basedOn w:val="DefaultParagraphFontb0265665"/>
    <w:uiPriority w:val="99"/>
    <w:semiHidden/>
    <w:unhideWhenUsed/>
    <w:qFormat/>
    <w:rsid w:val="002A0EAA"/>
    <w:rPr>
      <w:sz w:val="21"/>
      <w:szCs w:val="21"/>
    </w:rPr>
  </w:style>
  <w:style w:type="paragraph" w:customStyle="1" w:styleId="annotationtext5bfb0d66">
    <w:name w:val="annotation text5bfb0d66"/>
    <w:basedOn w:val="Normal861f8d48"/>
    <w:uiPriority w:val="99"/>
    <w:unhideWhenUsed/>
    <w:qFormat/>
    <w:rsid w:val="002A0EAA"/>
    <w:pPr>
      <w:jc w:val="left"/>
    </w:pPr>
    <w:rPr>
      <w:rFonts w:asciiTheme="minorHAnsi" w:hAnsiTheme="minorHAnsi"/>
    </w:rPr>
  </w:style>
  <w:style w:type="character" w:customStyle="1" w:styleId="bf80e204">
    <w:name w:val="批注文字 字符bf80e204"/>
    <w:basedOn w:val="DefaultParagraphFontb0265665"/>
    <w:uiPriority w:val="99"/>
    <w:qFormat/>
    <w:rsid w:val="002A0EAA"/>
    <w:rPr>
      <w:rFonts w:asciiTheme="minorHAnsi" w:eastAsiaTheme="minorEastAsia" w:hAnsiTheme="minorHAnsi" w:cstheme="minorBidi"/>
      <w:kern w:val="2"/>
      <w:sz w:val="21"/>
      <w:szCs w:val="22"/>
    </w:rPr>
  </w:style>
  <w:style w:type="paragraph" w:customStyle="1" w:styleId="annotationsubjectca62dbae">
    <w:name w:val="annotation subjectca62dbae"/>
    <w:basedOn w:val="annotationtext5bfb0d66"/>
    <w:uiPriority w:val="99"/>
    <w:semiHidden/>
    <w:unhideWhenUsed/>
    <w:rsid w:val="002A0EAA"/>
    <w:rPr>
      <w:b/>
      <w:bCs/>
    </w:rPr>
  </w:style>
  <w:style w:type="character" w:customStyle="1" w:styleId="a743cc3f">
    <w:name w:val="批注主题 字符a743cc3f"/>
    <w:basedOn w:val="bf80e204"/>
    <w:uiPriority w:val="99"/>
    <w:semiHidden/>
    <w:rsid w:val="002A0EAA"/>
    <w:rPr>
      <w:rFonts w:asciiTheme="minorHAnsi" w:eastAsiaTheme="minorEastAsia" w:hAnsiTheme="minorHAnsi" w:cstheme="minorBidi"/>
      <w:b/>
      <w:bCs/>
      <w:kern w:val="2"/>
      <w:sz w:val="21"/>
      <w:szCs w:val="22"/>
    </w:rPr>
  </w:style>
  <w:style w:type="paragraph" w:customStyle="1" w:styleId="ListParagraphc8da19ec">
    <w:name w:val="List Paragraphc8da19ec"/>
    <w:basedOn w:val="Normal861f8d48"/>
    <w:uiPriority w:val="34"/>
    <w:qFormat/>
    <w:rsid w:val="002A0EAA"/>
    <w:pPr>
      <w:ind w:firstLineChars="200" w:firstLine="420"/>
    </w:pPr>
    <w:rPr>
      <w:rFonts w:asciiTheme="minorHAnsi" w:hAnsiTheme="minorHAnsi"/>
    </w:rPr>
  </w:style>
  <w:style w:type="paragraph" w:customStyle="1" w:styleId="YJH-nei501571e1">
    <w:name w:val="YJH-nei501571e1"/>
    <w:basedOn w:val="Normal861f8d48"/>
    <w:rsid w:val="002A0EAA"/>
    <w:pPr>
      <w:spacing w:line="600" w:lineRule="exact"/>
      <w:ind w:firstLineChars="200" w:firstLine="200"/>
    </w:pPr>
    <w:rPr>
      <w:rFonts w:ascii="仿宋_GB2312" w:eastAsia="仿宋_GB2312" w:cs="宋体" w:hint="eastAsia"/>
      <w:kern w:val="0"/>
      <w:sz w:val="30"/>
      <w:szCs w:val="30"/>
    </w:rPr>
  </w:style>
  <w:style w:type="paragraph" w:customStyle="1" w:styleId="Revisionb123d0f8">
    <w:name w:val="Revisionb123d0f8"/>
    <w:hidden/>
    <w:uiPriority w:val="99"/>
    <w:semiHidden/>
    <w:rsid w:val="002A0EAA"/>
    <w:rPr>
      <w:kern w:val="2"/>
      <w:sz w:val="21"/>
      <w:szCs w:val="22"/>
    </w:rPr>
  </w:style>
  <w:style w:type="character" w:customStyle="1" w:styleId="sect2title1376c89a9">
    <w:name w:val="sect2title1376c89a9"/>
    <w:rsid w:val="002A0EAA"/>
    <w:rPr>
      <w:rFonts w:ascii="微软雅黑" w:eastAsia="微软雅黑" w:hAnsi="微软雅黑" w:hint="eastAsia"/>
      <w:b/>
      <w:bCs/>
      <w:sz w:val="21"/>
      <w:szCs w:val="21"/>
    </w:rPr>
  </w:style>
  <w:style w:type="character" w:customStyle="1" w:styleId="title12515aa34">
    <w:name w:val="title12515aa34"/>
    <w:rsid w:val="002A0EAA"/>
    <w:rPr>
      <w:rFonts w:ascii="微软雅黑" w:eastAsia="微软雅黑" w:hAnsi="微软雅黑" w:hint="eastAsia"/>
      <w:sz w:val="21"/>
      <w:szCs w:val="21"/>
    </w:rPr>
  </w:style>
  <w:style w:type="table" w:customStyle="1" w:styleId="217575bee">
    <w:name w:val="网格型217575bee"/>
    <w:basedOn w:val="NormalTable7bb5b338"/>
    <w:uiPriority w:val="39"/>
    <w:rsid w:val="002A0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f8a523f">
    <w:name w:val="网格型3af8a523f"/>
    <w:basedOn w:val="NormalTable7bb5b338"/>
    <w:uiPriority w:val="39"/>
    <w:rsid w:val="002A0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c99d4d1">
    <w:name w:val="p01c99d4d1"/>
    <w:basedOn w:val="Normal861f8d48"/>
    <w:rsid w:val="0000082D"/>
    <w:pPr>
      <w:widowControl/>
    </w:pPr>
    <w:rPr>
      <w:rFonts w:ascii="Times New Roman" w:eastAsia="宋体" w:hAnsi="Times New Roman" w:cs="Times New Roman"/>
      <w:kern w:val="0"/>
      <w:szCs w:val="21"/>
    </w:rPr>
  </w:style>
  <w:style w:type="character" w:customStyle="1" w:styleId="Hyperlink1df87a45">
    <w:name w:val="Hyperlink1df87a45"/>
    <w:basedOn w:val="DefaultParagraphFontb0265665"/>
    <w:uiPriority w:val="99"/>
    <w:unhideWhenUsed/>
    <w:rsid w:val="00200895"/>
    <w:rPr>
      <w:color w:val="0563C1" w:themeColor="hyperlink"/>
      <w:u w:val="single"/>
    </w:rPr>
  </w:style>
  <w:style w:type="paragraph" w:customStyle="1" w:styleId="Normalaa7bb105">
    <w:name w:val="Normalaa7bb105"/>
    <w:qFormat/>
    <w:rsid w:val="00286CE3"/>
    <w:pPr>
      <w:widowControl w:val="0"/>
      <w:jc w:val="both"/>
    </w:pPr>
    <w:rPr>
      <w:rFonts w:ascii="宋体" w:hAnsi="宋体"/>
      <w:kern w:val="2"/>
      <w:sz w:val="21"/>
      <w:szCs w:val="22"/>
    </w:rPr>
  </w:style>
  <w:style w:type="paragraph" w:customStyle="1" w:styleId="heading15f665e20">
    <w:name w:val="heading 15f665e20"/>
    <w:basedOn w:val="Normalaa7bb105"/>
    <w:next w:val="a"/>
    <w:uiPriority w:val="9"/>
    <w:qFormat/>
    <w:rsid w:val="000A4112"/>
    <w:pPr>
      <w:keepNext/>
      <w:keepLines/>
      <w:spacing w:before="120" w:after="120"/>
      <w:outlineLvl w:val="0"/>
    </w:pPr>
    <w:rPr>
      <w:rFonts w:cs="黑体"/>
      <w:b/>
      <w:bCs/>
      <w:kern w:val="44"/>
      <w:sz w:val="44"/>
      <w:szCs w:val="44"/>
    </w:rPr>
  </w:style>
  <w:style w:type="paragraph" w:customStyle="1" w:styleId="heading2fef7d4b5">
    <w:name w:val="heading 2fef7d4b5"/>
    <w:basedOn w:val="Normalaa7bb105"/>
    <w:next w:val="a"/>
    <w:qFormat/>
    <w:rsid w:val="00E23B71"/>
    <w:pPr>
      <w:keepNext/>
      <w:keepLines/>
      <w:spacing w:before="260" w:after="260" w:line="416" w:lineRule="auto"/>
      <w:ind w:leftChars="100" w:left="420" w:rightChars="100" w:right="100"/>
      <w:outlineLvl w:val="1"/>
    </w:pPr>
    <w:rPr>
      <w:rFonts w:ascii="Arial" w:eastAsia="华文细黑" w:hAnsi="Arial"/>
      <w:b/>
      <w:bCs/>
      <w:szCs w:val="32"/>
    </w:rPr>
  </w:style>
  <w:style w:type="paragraph" w:customStyle="1" w:styleId="heading315d65f4f">
    <w:name w:val="heading 315d65f4f"/>
    <w:basedOn w:val="Normalaa7bb105"/>
    <w:next w:val="a"/>
    <w:uiPriority w:val="9"/>
    <w:semiHidden/>
    <w:unhideWhenUsed/>
    <w:qFormat/>
    <w:rsid w:val="00AC1BDE"/>
    <w:pPr>
      <w:keepNext/>
      <w:keepLines/>
      <w:spacing w:line="360" w:lineRule="auto"/>
      <w:ind w:leftChars="100" w:left="100"/>
      <w:outlineLvl w:val="2"/>
    </w:pPr>
    <w:rPr>
      <w:b/>
      <w:bCs/>
      <w:szCs w:val="32"/>
    </w:rPr>
  </w:style>
  <w:style w:type="character" w:customStyle="1" w:styleId="DefaultParagraphFont3d51b286">
    <w:name w:val="Default Paragraph Font3d51b286"/>
    <w:uiPriority w:val="1"/>
    <w:semiHidden/>
    <w:unhideWhenUsed/>
  </w:style>
  <w:style w:type="table" w:customStyle="1" w:styleId="NormalTable9da41954">
    <w:name w:val="Normal Table9da41954"/>
    <w:uiPriority w:val="99"/>
    <w:semiHidden/>
    <w:unhideWhenUsed/>
    <w:tblPr>
      <w:tblInd w:w="0" w:type="dxa"/>
      <w:tblCellMar>
        <w:top w:w="0" w:type="dxa"/>
        <w:left w:w="108" w:type="dxa"/>
        <w:bottom w:w="0" w:type="dxa"/>
        <w:right w:w="108" w:type="dxa"/>
      </w:tblCellMar>
    </w:tblPr>
  </w:style>
  <w:style w:type="numbering" w:customStyle="1" w:styleId="NoListdaf76097">
    <w:name w:val="No Listdaf76097"/>
    <w:uiPriority w:val="99"/>
    <w:semiHidden/>
    <w:unhideWhenUsed/>
  </w:style>
  <w:style w:type="character" w:customStyle="1" w:styleId="2b716fde9">
    <w:name w:val="标题 2 字符b716fde9"/>
    <w:basedOn w:val="DefaultParagraphFont3d51b286"/>
    <w:link w:val="2"/>
    <w:rsid w:val="00E23B71"/>
    <w:rPr>
      <w:rFonts w:ascii="Arial" w:eastAsia="华文细黑" w:hAnsi="Arial" w:cstheme="minorBidi"/>
      <w:b/>
      <w:bCs/>
      <w:kern w:val="2"/>
      <w:sz w:val="21"/>
      <w:szCs w:val="32"/>
    </w:rPr>
  </w:style>
  <w:style w:type="character" w:customStyle="1" w:styleId="1c3a65ce5">
    <w:name w:val="标题 1 字符c3a65ce5"/>
    <w:basedOn w:val="DefaultParagraphFont3d51b286"/>
    <w:link w:val="1"/>
    <w:uiPriority w:val="9"/>
    <w:rsid w:val="000A4112"/>
    <w:rPr>
      <w:b/>
      <w:bCs/>
      <w:kern w:val="44"/>
      <w:sz w:val="44"/>
      <w:szCs w:val="44"/>
    </w:rPr>
  </w:style>
  <w:style w:type="character" w:customStyle="1" w:styleId="321bbcdbb">
    <w:name w:val="标题 3 字符21bbcdbb"/>
    <w:basedOn w:val="DefaultParagraphFont3d51b286"/>
    <w:link w:val="3"/>
    <w:uiPriority w:val="9"/>
    <w:semiHidden/>
    <w:rsid w:val="00AC1BDE"/>
    <w:rPr>
      <w:rFonts w:eastAsia="华文细黑"/>
      <w:b/>
      <w:bCs/>
      <w:sz w:val="24"/>
      <w:szCs w:val="32"/>
    </w:rPr>
  </w:style>
  <w:style w:type="paragraph" w:customStyle="1" w:styleId="NoSpacingc621a0c7">
    <w:name w:val="No Spacingc621a0c7"/>
    <w:uiPriority w:val="1"/>
    <w:qFormat/>
    <w:rsid w:val="00B003FE"/>
    <w:pPr>
      <w:widowControl w:val="0"/>
      <w:jc w:val="both"/>
    </w:pPr>
    <w:rPr>
      <w:rFonts w:ascii="宋体" w:hAnsi="宋体"/>
      <w:kern w:val="2"/>
      <w:sz w:val="21"/>
      <w:szCs w:val="22"/>
    </w:rPr>
  </w:style>
  <w:style w:type="paragraph" w:customStyle="1" w:styleId="e802929d">
    <w:name w:val="说明书e802929d"/>
    <w:basedOn w:val="Normalaa7bb105"/>
    <w:qFormat/>
    <w:rsid w:val="005F3276"/>
    <w:pPr>
      <w:autoSpaceDE w:val="0"/>
      <w:autoSpaceDN w:val="0"/>
      <w:adjustRightInd w:val="0"/>
      <w:snapToGrid w:val="0"/>
      <w:jc w:val="left"/>
    </w:pPr>
    <w:rPr>
      <w:rFonts w:cs="黑体"/>
      <w:kern w:val="0"/>
      <w:sz w:val="20"/>
      <w:szCs w:val="21"/>
    </w:rPr>
  </w:style>
  <w:style w:type="character" w:customStyle="1" w:styleId="166c79ef">
    <w:name w:val="说明书 字符166c79ef"/>
    <w:basedOn w:val="DefaultParagraphFont3d51b286"/>
    <w:rsid w:val="005F3276"/>
  </w:style>
  <w:style w:type="paragraph" w:customStyle="1" w:styleId="7f6e99f9">
    <w:name w:val="表格7f6e99f9"/>
    <w:basedOn w:val="a7"/>
    <w:qFormat/>
    <w:rsid w:val="005F3276"/>
    <w:rPr>
      <w:rFonts w:ascii="黑体" w:eastAsia="黑体" w:hAnsi="黑体" w:cs="黑体"/>
      <w:kern w:val="0"/>
      <w:szCs w:val="20"/>
    </w:rPr>
  </w:style>
  <w:style w:type="character" w:customStyle="1" w:styleId="a44677ca">
    <w:name w:val="表格 字符a44677ca"/>
    <w:rsid w:val="005F3276"/>
    <w:rPr>
      <w:rFonts w:asciiTheme="minorHAnsi" w:eastAsiaTheme="minorEastAsia" w:hAnsiTheme="minorHAnsi" w:cstheme="minorBidi"/>
      <w:b/>
      <w:bCs/>
      <w:kern w:val="28"/>
      <w:sz w:val="32"/>
      <w:szCs w:val="20"/>
    </w:rPr>
  </w:style>
  <w:style w:type="paragraph" w:customStyle="1" w:styleId="Subtitle42baa0bf">
    <w:name w:val="Subtitle42baa0bf"/>
    <w:basedOn w:val="Normalaa7bb105"/>
    <w:next w:val="a"/>
    <w:uiPriority w:val="11"/>
    <w:qFormat/>
    <w:rsid w:val="005F3276"/>
    <w:pPr>
      <w:spacing w:before="240" w:after="60"/>
      <w:outlineLvl w:val="1"/>
    </w:pPr>
    <w:rPr>
      <w:b/>
      <w:bCs/>
      <w:kern w:val="28"/>
      <w:sz w:val="32"/>
      <w:szCs w:val="32"/>
    </w:rPr>
  </w:style>
  <w:style w:type="character" w:customStyle="1" w:styleId="d29ad520">
    <w:name w:val="副标题 字符d29ad520"/>
    <w:basedOn w:val="DefaultParagraphFont3d51b286"/>
    <w:uiPriority w:val="11"/>
    <w:rsid w:val="005F3276"/>
    <w:rPr>
      <w:rFonts w:asciiTheme="minorHAnsi" w:eastAsiaTheme="minorEastAsia" w:hAnsiTheme="minorHAnsi" w:cstheme="minorBidi"/>
      <w:b/>
      <w:bCs/>
      <w:kern w:val="28"/>
      <w:sz w:val="32"/>
      <w:szCs w:val="32"/>
    </w:rPr>
  </w:style>
  <w:style w:type="paragraph" w:customStyle="1" w:styleId="133b9b20a">
    <w:name w:val="样式133b9b20a"/>
    <w:basedOn w:val="NoSpacingc621a0c7"/>
    <w:qFormat/>
    <w:rsid w:val="00A8385F"/>
    <w:pPr>
      <w:jc w:val="center"/>
    </w:pPr>
    <w:rPr>
      <w:rFonts w:cs="黑体"/>
      <w:b/>
      <w:kern w:val="0"/>
      <w:sz w:val="44"/>
      <w:szCs w:val="21"/>
    </w:rPr>
  </w:style>
  <w:style w:type="character" w:customStyle="1" w:styleId="187cc62c1">
    <w:name w:val="样式1 字符87cc62c1"/>
    <w:basedOn w:val="DefaultParagraphFont3d51b286"/>
    <w:link w:val="111"/>
    <w:rsid w:val="00A8385F"/>
    <w:rPr>
      <w:rFonts w:ascii="宋体" w:hAnsi="宋体"/>
      <w:b/>
      <w:sz w:val="44"/>
    </w:rPr>
  </w:style>
  <w:style w:type="paragraph" w:customStyle="1" w:styleId="fcdb5a01">
    <w:name w:val="加粗fcdb5a01"/>
    <w:basedOn w:val="Normalaa7bb105"/>
    <w:qFormat/>
    <w:rsid w:val="002844E3"/>
    <w:pPr>
      <w:ind w:firstLine="420"/>
    </w:pPr>
    <w:rPr>
      <w:rFonts w:cs="黑体"/>
      <w:b/>
      <w:kern w:val="0"/>
      <w:sz w:val="24"/>
      <w:szCs w:val="21"/>
    </w:rPr>
  </w:style>
  <w:style w:type="character" w:customStyle="1" w:styleId="4189c28c">
    <w:name w:val="加粗 字符4189c28c"/>
    <w:basedOn w:val="DefaultParagraphFont3d51b286"/>
    <w:rsid w:val="002844E3"/>
    <w:rPr>
      <w:rFonts w:ascii="宋体" w:eastAsia="宋体" w:hAnsi="宋体"/>
      <w:b/>
      <w:sz w:val="24"/>
    </w:rPr>
  </w:style>
  <w:style w:type="paragraph" w:customStyle="1" w:styleId="2718e0409">
    <w:name w:val="样式2718e0409"/>
    <w:basedOn w:val="133b9b20a"/>
    <w:qFormat/>
    <w:rsid w:val="00E0215F"/>
    <w:pPr>
      <w:jc w:val="both"/>
    </w:pPr>
  </w:style>
  <w:style w:type="character" w:customStyle="1" w:styleId="208117b18">
    <w:name w:val="样式2 字符08117b18"/>
    <w:basedOn w:val="187cc62c1"/>
    <w:rsid w:val="00E0215F"/>
    <w:rPr>
      <w:rFonts w:ascii="宋体" w:hAnsi="宋体"/>
      <w:b/>
      <w:sz w:val="44"/>
    </w:rPr>
  </w:style>
  <w:style w:type="paragraph" w:customStyle="1" w:styleId="37cf9f20d">
    <w:name w:val="样式37cf9f20d"/>
    <w:basedOn w:val="Normalaa7bb105"/>
    <w:autoRedefine/>
    <w:qFormat/>
    <w:rsid w:val="00997BC2"/>
    <w:pPr>
      <w:autoSpaceDE w:val="0"/>
      <w:autoSpaceDN w:val="0"/>
      <w:adjustRightInd w:val="0"/>
      <w:jc w:val="left"/>
    </w:pPr>
    <w:rPr>
      <w:rFonts w:cs="黑体"/>
      <w:kern w:val="0"/>
      <w:szCs w:val="21"/>
    </w:rPr>
  </w:style>
  <w:style w:type="character" w:customStyle="1" w:styleId="3812b0387">
    <w:name w:val="样式3 字符812b0387"/>
    <w:basedOn w:val="DefaultParagraphFont3d51b286"/>
    <w:rsid w:val="00997BC2"/>
    <w:rPr>
      <w:sz w:val="21"/>
    </w:rPr>
  </w:style>
  <w:style w:type="paragraph" w:customStyle="1" w:styleId="4c0bec36f">
    <w:name w:val="样式4c0bec36f"/>
    <w:qFormat/>
    <w:rsid w:val="00840FBB"/>
    <w:pPr>
      <w:spacing w:line="240" w:lineRule="atLeast"/>
    </w:pPr>
    <w:rPr>
      <w:rFonts w:ascii="仿宋_GB2312" w:cs="黑体"/>
      <w:szCs w:val="21"/>
    </w:rPr>
  </w:style>
  <w:style w:type="character" w:customStyle="1" w:styleId="4bd3f5dd3">
    <w:name w:val="样式4 字符bd3f5dd3"/>
    <w:basedOn w:val="DefaultParagraphFont3d51b286"/>
    <w:rsid w:val="00840FBB"/>
    <w:rPr>
      <w:rFonts w:ascii="仿宋_GB2312" w:eastAsia="仿宋_GB2312" w:hAnsi="宋体"/>
      <w:kern w:val="2"/>
      <w:sz w:val="21"/>
    </w:rPr>
  </w:style>
  <w:style w:type="paragraph" w:customStyle="1" w:styleId="520bb5c19">
    <w:name w:val="样式520bb5c19"/>
    <w:next w:val="a"/>
    <w:qFormat/>
    <w:rsid w:val="00840FBB"/>
    <w:rPr>
      <w:rFonts w:hAnsi="黑体" w:cs="黑体"/>
      <w:sz w:val="24"/>
    </w:rPr>
  </w:style>
  <w:style w:type="character" w:customStyle="1" w:styleId="584df5bde">
    <w:name w:val="样式5 字符84df5bde"/>
    <w:basedOn w:val="DefaultParagraphFont3d51b286"/>
    <w:rsid w:val="00840FBB"/>
    <w:rPr>
      <w:rFonts w:ascii="宋体" w:eastAsia="仿宋_GB2312"/>
      <w:kern w:val="2"/>
      <w:sz w:val="24"/>
      <w:szCs w:val="24"/>
    </w:rPr>
  </w:style>
  <w:style w:type="paragraph" w:customStyle="1" w:styleId="68f905be2">
    <w:name w:val="样式68f905be2"/>
    <w:basedOn w:val="Normalaa7bb105"/>
    <w:qFormat/>
    <w:rsid w:val="000F2E26"/>
    <w:pPr>
      <w:spacing w:line="360" w:lineRule="auto"/>
      <w:ind w:firstLineChars="177" w:firstLine="566"/>
    </w:pPr>
    <w:rPr>
      <w:rFonts w:cs="黑体"/>
      <w:sz w:val="32"/>
    </w:rPr>
  </w:style>
  <w:style w:type="character" w:customStyle="1" w:styleId="6295cd8dd">
    <w:name w:val="样式6 字符295cd8dd"/>
    <w:basedOn w:val="DefaultParagraphFont3d51b286"/>
    <w:rsid w:val="000F2E26"/>
    <w:rPr>
      <w:rFonts w:eastAsia="仿宋_GB2312"/>
      <w:kern w:val="2"/>
      <w:sz w:val="32"/>
      <w:szCs w:val="24"/>
    </w:rPr>
  </w:style>
  <w:style w:type="paragraph" w:customStyle="1" w:styleId="BodyTexta678269b">
    <w:name w:val="Body Texta678269b"/>
    <w:basedOn w:val="Normalaa7bb105"/>
    <w:link w:val="ad"/>
    <w:uiPriority w:val="99"/>
    <w:semiHidden/>
    <w:unhideWhenUsed/>
    <w:rsid w:val="00840FBB"/>
    <w:pPr>
      <w:spacing w:after="120"/>
    </w:pPr>
  </w:style>
  <w:style w:type="character" w:customStyle="1" w:styleId="8ce0a620">
    <w:name w:val="正文文本 字符8ce0a620"/>
    <w:basedOn w:val="DefaultParagraphFont3d51b286"/>
    <w:uiPriority w:val="99"/>
    <w:semiHidden/>
    <w:rsid w:val="00840FBB"/>
    <w:rPr>
      <w:rFonts w:ascii="Calibri" w:eastAsia="仿宋_GB2312" w:hAnsi="Calibri" w:cs="Times New Roman"/>
      <w:kern w:val="2"/>
      <w:sz w:val="21"/>
      <w:szCs w:val="24"/>
    </w:rPr>
  </w:style>
  <w:style w:type="paragraph" w:customStyle="1" w:styleId="1dcd1a06b">
    <w:name w:val="页脚1dcd1a06b"/>
    <w:basedOn w:val="Normalaa7bb105"/>
    <w:link w:val="af"/>
    <w:uiPriority w:val="99"/>
    <w:unhideWhenUsed/>
    <w:qFormat/>
    <w:rsid w:val="00C57452"/>
    <w:pPr>
      <w:tabs>
        <w:tab w:val="center" w:pos="4153"/>
        <w:tab w:val="right" w:pos="8306"/>
      </w:tabs>
      <w:snapToGrid w:val="0"/>
      <w:jc w:val="left"/>
    </w:pPr>
    <w:rPr>
      <w:rFonts w:ascii="黑体" w:hAnsi="黑体" w:cs="黑体"/>
      <w:sz w:val="18"/>
      <w:szCs w:val="18"/>
    </w:rPr>
  </w:style>
  <w:style w:type="character" w:customStyle="1" w:styleId="f4d19306">
    <w:name w:val="页脚 字符f4d19306"/>
    <w:basedOn w:val="DefaultParagraphFont3d51b286"/>
    <w:uiPriority w:val="99"/>
    <w:qFormat/>
    <w:rsid w:val="00C57452"/>
    <w:rPr>
      <w:kern w:val="2"/>
      <w:sz w:val="18"/>
      <w:szCs w:val="18"/>
    </w:rPr>
  </w:style>
  <w:style w:type="paragraph" w:customStyle="1" w:styleId="footer750a0ee1">
    <w:name w:val="footer750a0ee1"/>
    <w:basedOn w:val="Normalaa7bb105"/>
    <w:link w:val="114"/>
    <w:uiPriority w:val="99"/>
    <w:unhideWhenUsed/>
    <w:rsid w:val="00C57452"/>
    <w:pPr>
      <w:tabs>
        <w:tab w:val="center" w:pos="4153"/>
        <w:tab w:val="right" w:pos="8306"/>
      </w:tabs>
      <w:snapToGrid w:val="0"/>
      <w:jc w:val="left"/>
    </w:pPr>
    <w:rPr>
      <w:sz w:val="18"/>
      <w:szCs w:val="18"/>
    </w:rPr>
  </w:style>
  <w:style w:type="character" w:customStyle="1" w:styleId="1e09b370a">
    <w:name w:val="页脚 字符1e09b370a"/>
    <w:basedOn w:val="DefaultParagraphFont3d51b286"/>
    <w:link w:val="ae"/>
    <w:uiPriority w:val="99"/>
    <w:rsid w:val="00C57452"/>
    <w:rPr>
      <w:rFonts w:ascii="宋体" w:hAnsi="宋体" w:cstheme="minorBidi"/>
      <w:kern w:val="2"/>
      <w:sz w:val="18"/>
      <w:szCs w:val="18"/>
    </w:rPr>
  </w:style>
  <w:style w:type="table" w:customStyle="1" w:styleId="13171c7a8">
    <w:name w:val="网格型13171c7a8"/>
    <w:basedOn w:val="NormalTable9da41954"/>
    <w:uiPriority w:val="39"/>
    <w:rsid w:val="00C5745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e359b9">
    <w:name w:val="Table Grid67e359b9"/>
    <w:basedOn w:val="NormalTable9da41954"/>
    <w:uiPriority w:val="39"/>
    <w:rsid w:val="00C5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b66b08">
    <w:name w:val="文本标题14b66b08"/>
    <w:basedOn w:val="Normalaa7bb105"/>
    <w:qFormat/>
    <w:rsid w:val="00C57452"/>
    <w:pPr>
      <w:jc w:val="center"/>
    </w:pPr>
    <w:rPr>
      <w:rFonts w:ascii="黑体" w:cs="Times New Roman"/>
      <w:b/>
      <w:sz w:val="44"/>
      <w:szCs w:val="44"/>
    </w:rPr>
  </w:style>
  <w:style w:type="paragraph" w:customStyle="1" w:styleId="13532e74">
    <w:name w:val="文本正文13532e74"/>
    <w:basedOn w:val="Normalaa7bb105"/>
    <w:qFormat/>
    <w:rsid w:val="0041149A"/>
    <w:pPr>
      <w:spacing w:line="312" w:lineRule="auto"/>
    </w:pPr>
    <w:rPr>
      <w:rFonts w:eastAsia="宋体" w:cs="Times New Roman"/>
      <w:color w:val="000000"/>
      <w:sz w:val="24"/>
      <w:szCs w:val="24"/>
    </w:rPr>
  </w:style>
  <w:style w:type="character" w:customStyle="1" w:styleId="af2">
    <w:name w:val="修订 字符"/>
    <w:basedOn w:val="DefaultParagraphFont3d51b286"/>
    <w:link w:val="af1"/>
    <w:rsid w:val="00C57452"/>
    <w:rPr>
      <w:rFonts w:hAnsi="宋体" w:cs="Times New Roman"/>
      <w:b/>
      <w:kern w:val="2"/>
      <w:sz w:val="44"/>
      <w:szCs w:val="44"/>
    </w:rPr>
  </w:style>
  <w:style w:type="character" w:customStyle="1" w:styleId="50b4b172">
    <w:name w:val="文本正文 字符50b4b172"/>
    <w:basedOn w:val="DefaultParagraphFont3d51b286"/>
    <w:rsid w:val="0041149A"/>
    <w:rPr>
      <w:rFonts w:ascii="宋体" w:eastAsia="宋体" w:hAnsi="宋体" w:cs="Times New Roman"/>
      <w:color w:val="000000"/>
      <w:kern w:val="2"/>
      <w:sz w:val="24"/>
      <w:szCs w:val="24"/>
    </w:rPr>
  </w:style>
  <w:style w:type="paragraph" w:customStyle="1" w:styleId="header944b17a6">
    <w:name w:val="header944b17a6"/>
    <w:basedOn w:val="Normalaa7bb105"/>
    <w:uiPriority w:val="99"/>
    <w:unhideWhenUsed/>
    <w:rsid w:val="00842863"/>
    <w:pPr>
      <w:pBdr>
        <w:bottom w:val="single" w:sz="6" w:space="1" w:color="auto"/>
      </w:pBdr>
      <w:tabs>
        <w:tab w:val="center" w:pos="4153"/>
        <w:tab w:val="right" w:pos="8306"/>
      </w:tabs>
      <w:snapToGrid w:val="0"/>
      <w:jc w:val="center"/>
    </w:pPr>
    <w:rPr>
      <w:sz w:val="18"/>
      <w:szCs w:val="18"/>
    </w:rPr>
  </w:style>
  <w:style w:type="character" w:customStyle="1" w:styleId="fcb1e69c">
    <w:name w:val="页眉 字符fcb1e69c"/>
    <w:basedOn w:val="DefaultParagraphFont3d51b286"/>
    <w:uiPriority w:val="99"/>
    <w:rsid w:val="00842863"/>
    <w:rPr>
      <w:rFonts w:ascii="宋体" w:hAnsi="宋体" w:cstheme="minorBidi"/>
      <w:kern w:val="2"/>
      <w:sz w:val="18"/>
      <w:szCs w:val="18"/>
    </w:rPr>
  </w:style>
  <w:style w:type="paragraph" w:customStyle="1" w:styleId="BalloonText7d401e27">
    <w:name w:val="Balloon Text7d401e27"/>
    <w:basedOn w:val="Normalaa7bb105"/>
    <w:uiPriority w:val="99"/>
    <w:semiHidden/>
    <w:unhideWhenUsed/>
    <w:rsid w:val="002A0EAA"/>
    <w:rPr>
      <w:rFonts w:asciiTheme="minorHAnsi" w:hAnsiTheme="minorHAnsi"/>
      <w:sz w:val="18"/>
      <w:szCs w:val="18"/>
    </w:rPr>
  </w:style>
  <w:style w:type="character" w:customStyle="1" w:styleId="b488de1c">
    <w:name w:val="批注框文本 字符b488de1c"/>
    <w:basedOn w:val="DefaultParagraphFont3d51b286"/>
    <w:uiPriority w:val="99"/>
    <w:semiHidden/>
    <w:rsid w:val="002A0EAA"/>
    <w:rPr>
      <w:rFonts w:asciiTheme="minorHAnsi" w:eastAsiaTheme="minorEastAsia" w:hAnsiTheme="minorHAnsi" w:cstheme="minorBidi"/>
      <w:kern w:val="2"/>
      <w:sz w:val="18"/>
      <w:szCs w:val="18"/>
    </w:rPr>
  </w:style>
  <w:style w:type="character" w:customStyle="1" w:styleId="annotationreference57d290e2">
    <w:name w:val="annotation reference57d290e2"/>
    <w:basedOn w:val="DefaultParagraphFont3d51b286"/>
    <w:uiPriority w:val="99"/>
    <w:semiHidden/>
    <w:unhideWhenUsed/>
    <w:qFormat/>
    <w:rsid w:val="002A0EAA"/>
    <w:rPr>
      <w:sz w:val="21"/>
      <w:szCs w:val="21"/>
    </w:rPr>
  </w:style>
  <w:style w:type="paragraph" w:customStyle="1" w:styleId="annotationtext5f1b00ce">
    <w:name w:val="annotation text5f1b00ce"/>
    <w:basedOn w:val="Normalaa7bb105"/>
    <w:link w:val="TableGridafb"/>
    <w:uiPriority w:val="99"/>
    <w:unhideWhenUsed/>
    <w:qFormat/>
    <w:rsid w:val="002A0EAA"/>
    <w:pPr>
      <w:jc w:val="left"/>
    </w:pPr>
    <w:rPr>
      <w:rFonts w:asciiTheme="minorHAnsi" w:hAnsiTheme="minorHAnsi"/>
    </w:rPr>
  </w:style>
  <w:style w:type="character" w:customStyle="1" w:styleId="78570a0e">
    <w:name w:val="批注文字 字符78570a0e"/>
    <w:basedOn w:val="DefaultParagraphFont3d51b286"/>
    <w:uiPriority w:val="99"/>
    <w:qFormat/>
    <w:rsid w:val="002A0EAA"/>
    <w:rPr>
      <w:rFonts w:asciiTheme="minorHAnsi" w:eastAsiaTheme="minorEastAsia" w:hAnsiTheme="minorHAnsi" w:cstheme="minorBidi"/>
      <w:kern w:val="2"/>
      <w:sz w:val="21"/>
      <w:szCs w:val="22"/>
    </w:rPr>
  </w:style>
  <w:style w:type="paragraph" w:customStyle="1" w:styleId="annotationsubject98b29a2c">
    <w:name w:val="annotation subject98b29a2c"/>
    <w:basedOn w:val="annotationtext5f1b00ce"/>
    <w:uiPriority w:val="99"/>
    <w:semiHidden/>
    <w:unhideWhenUsed/>
    <w:rsid w:val="002A0EAA"/>
    <w:rPr>
      <w:b/>
      <w:bCs/>
    </w:rPr>
  </w:style>
  <w:style w:type="character" w:customStyle="1" w:styleId="c5cd6db6">
    <w:name w:val="批注主题 字符c5cd6db6"/>
    <w:basedOn w:val="78570a0e"/>
    <w:uiPriority w:val="99"/>
    <w:semiHidden/>
    <w:rsid w:val="002A0EAA"/>
    <w:rPr>
      <w:rFonts w:asciiTheme="minorHAnsi" w:eastAsiaTheme="minorEastAsia" w:hAnsiTheme="minorHAnsi" w:cstheme="minorBidi"/>
      <w:b/>
      <w:bCs/>
      <w:kern w:val="2"/>
      <w:sz w:val="21"/>
      <w:szCs w:val="22"/>
    </w:rPr>
  </w:style>
  <w:style w:type="paragraph" w:customStyle="1" w:styleId="ListParagraph4b03f06c">
    <w:name w:val="List Paragraph4b03f06c"/>
    <w:basedOn w:val="Normalaa7bb105"/>
    <w:uiPriority w:val="34"/>
    <w:qFormat/>
    <w:rsid w:val="002A0EAA"/>
    <w:pPr>
      <w:ind w:firstLineChars="200" w:firstLine="420"/>
    </w:pPr>
    <w:rPr>
      <w:rFonts w:asciiTheme="minorHAnsi" w:hAnsiTheme="minorHAnsi"/>
    </w:rPr>
  </w:style>
  <w:style w:type="paragraph" w:customStyle="1" w:styleId="YJH-nei377d1145">
    <w:name w:val="YJH-nei377d1145"/>
    <w:basedOn w:val="Normalaa7bb105"/>
    <w:rsid w:val="002A0EAA"/>
    <w:pPr>
      <w:spacing w:line="600" w:lineRule="exact"/>
      <w:ind w:firstLineChars="200" w:firstLine="200"/>
    </w:pPr>
    <w:rPr>
      <w:rFonts w:ascii="仿宋_GB2312" w:eastAsia="仿宋_GB2312" w:cs="宋体" w:hint="eastAsia"/>
      <w:kern w:val="0"/>
      <w:sz w:val="30"/>
      <w:szCs w:val="30"/>
    </w:rPr>
  </w:style>
  <w:style w:type="paragraph" w:customStyle="1" w:styleId="Revision3e6a6e44">
    <w:name w:val="Revision3e6a6e44"/>
    <w:hidden/>
    <w:uiPriority w:val="99"/>
    <w:semiHidden/>
    <w:rsid w:val="002A0EAA"/>
    <w:rPr>
      <w:kern w:val="2"/>
      <w:sz w:val="21"/>
      <w:szCs w:val="22"/>
    </w:rPr>
  </w:style>
  <w:style w:type="character" w:customStyle="1" w:styleId="sect2title1d5bf286b">
    <w:name w:val="sect2title1d5bf286b"/>
    <w:rsid w:val="002A0EAA"/>
    <w:rPr>
      <w:rFonts w:ascii="微软雅黑" w:eastAsia="微软雅黑" w:hAnsi="微软雅黑" w:hint="eastAsia"/>
      <w:b/>
      <w:bCs/>
      <w:sz w:val="21"/>
      <w:szCs w:val="21"/>
    </w:rPr>
  </w:style>
  <w:style w:type="character" w:customStyle="1" w:styleId="title15163fa6b">
    <w:name w:val="title15163fa6b"/>
    <w:rsid w:val="002A0EAA"/>
    <w:rPr>
      <w:rFonts w:ascii="微软雅黑" w:eastAsia="微软雅黑" w:hAnsi="微软雅黑" w:hint="eastAsia"/>
      <w:sz w:val="21"/>
      <w:szCs w:val="21"/>
    </w:rPr>
  </w:style>
  <w:style w:type="table" w:customStyle="1" w:styleId="222d0dbb4">
    <w:name w:val="网格型222d0dbb4"/>
    <w:basedOn w:val="NormalTable9da41954"/>
    <w:uiPriority w:val="39"/>
    <w:rsid w:val="002A0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d711337">
    <w:name w:val="网格型36d711337"/>
    <w:basedOn w:val="NormalTable9da41954"/>
    <w:uiPriority w:val="39"/>
    <w:rsid w:val="002A0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b819aac">
    <w:name w:val="p01b819aac"/>
    <w:basedOn w:val="Normalaa7bb105"/>
    <w:rsid w:val="0000082D"/>
    <w:pPr>
      <w:widowControl/>
    </w:pPr>
    <w:rPr>
      <w:rFonts w:ascii="Times New Roman" w:eastAsia="宋体" w:hAnsi="Times New Roman" w:cs="Times New Roman"/>
      <w:kern w:val="0"/>
      <w:szCs w:val="21"/>
    </w:rPr>
  </w:style>
  <w:style w:type="character" w:customStyle="1" w:styleId="Hyperlinkaef0971b">
    <w:name w:val="Hyperlinkaef0971b"/>
    <w:basedOn w:val="DefaultParagraphFont3d51b286"/>
    <w:uiPriority w:val="99"/>
    <w:unhideWhenUsed/>
    <w:rsid w:val="00200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cbc.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ccb.com" TargetMode="External"/><Relationship Id="rId4" Type="http://schemas.openxmlformats.org/officeDocument/2006/relationships/settings" Target="settings.xml"/><Relationship Id="rId9" Type="http://schemas.openxmlformats.org/officeDocument/2006/relationships/hyperlink" Target="http://www.cz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4725</Words>
  <Characters>26934</Characters>
  <Application>Microsoft Office Word</Application>
  <DocSecurity>0</DocSecurity>
  <Lines>224</Lines>
  <Paragraphs>63</Paragraphs>
  <ScaleCrop>false</ScaleCrop>
  <Company>nbcb</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吴威</dc:creator>
  <cp:lastModifiedBy>刘淑雨</cp:lastModifiedBy>
  <cp:revision>2</cp:revision>
  <cp:lastPrinted>2020-06-22T00:36:00Z</cp:lastPrinted>
  <dcterms:created xsi:type="dcterms:W3CDTF">2023-11-14T07:13:00Z</dcterms:created>
  <dcterms:modified xsi:type="dcterms:W3CDTF">2023-11-14T07:13:00Z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172B8527002C4C1590ABBA4D24304916</vt:lpwstr>
  </property>
</Properties>
</file>